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6C0908">
        <w:rPr>
          <w:sz w:val="28"/>
          <w:szCs w:val="28"/>
        </w:rPr>
        <w:t xml:space="preserve"> </w:t>
      </w:r>
      <w:r w:rsidR="00536AD9">
        <w:rPr>
          <w:sz w:val="28"/>
          <w:szCs w:val="28"/>
        </w:rPr>
        <w:t>10.</w:t>
      </w:r>
      <w:r w:rsidR="00C60FC7">
        <w:rPr>
          <w:sz w:val="28"/>
          <w:szCs w:val="28"/>
        </w:rPr>
        <w:t>169</w:t>
      </w:r>
      <w:r w:rsidR="00536AD9">
        <w:rPr>
          <w:sz w:val="28"/>
          <w:szCs w:val="28"/>
        </w:rPr>
        <w:t xml:space="preserve"> millones</w:t>
      </w:r>
      <w:r w:rsidR="00231FE9">
        <w:rPr>
          <w:sz w:val="28"/>
          <w:szCs w:val="28"/>
        </w:rPr>
        <w:t xml:space="preserve"> en </w:t>
      </w:r>
      <w:r w:rsidR="00C60FC7">
        <w:rPr>
          <w:sz w:val="28"/>
          <w:szCs w:val="28"/>
        </w:rPr>
        <w:t>diciembre</w:t>
      </w:r>
      <w:r w:rsidR="00231FE9">
        <w:rPr>
          <w:sz w:val="28"/>
          <w:szCs w:val="28"/>
        </w:rPr>
        <w:t xml:space="preserve"> de 2017</w:t>
      </w:r>
    </w:p>
    <w:p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C60FC7">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C60FC7">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rsidR="00975153" w:rsidRDefault="00536AD9" w:rsidP="00B07563">
      <w:pPr>
        <w:tabs>
          <w:tab w:val="left" w:pos="0"/>
        </w:tabs>
        <w:spacing w:after="0" w:line="240" w:lineRule="auto"/>
        <w:rPr>
          <w:rFonts w:cstheme="minorHAnsi"/>
        </w:rPr>
      </w:pPr>
      <w:r w:rsidRPr="000249BB">
        <w:rPr>
          <w:rFonts w:cstheme="minorHAnsi"/>
        </w:rPr>
        <w:t xml:space="preserve">Durante </w:t>
      </w:r>
      <w:r w:rsidR="00C60FC7">
        <w:rPr>
          <w:rFonts w:cstheme="minorHAnsi"/>
        </w:rPr>
        <w:t>diciembre</w:t>
      </w:r>
      <w:r w:rsidR="00F86F05" w:rsidRPr="000249BB">
        <w:rPr>
          <w:rFonts w:cstheme="minorHAnsi"/>
        </w:rPr>
        <w:t xml:space="preserve"> de 2017</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Pr="000249BB">
        <w:rPr>
          <w:rFonts w:cstheme="minorHAnsi"/>
        </w:rPr>
        <w:t>10.</w:t>
      </w:r>
      <w:r w:rsidR="00C60FC7">
        <w:rPr>
          <w:rFonts w:cstheme="minorHAnsi"/>
        </w:rPr>
        <w:t>169</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Pr="000249BB">
        <w:rPr>
          <w:rFonts w:cstheme="minorHAnsi"/>
        </w:rPr>
        <w:t>4.</w:t>
      </w:r>
      <w:r w:rsidR="00C60FC7">
        <w:rPr>
          <w:rFonts w:cstheme="minorHAnsi"/>
        </w:rPr>
        <w:t>364</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2"/>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Pr="000249BB">
        <w:rPr>
          <w:rFonts w:cstheme="minorHAnsi"/>
        </w:rPr>
        <w:t>4.</w:t>
      </w:r>
      <w:r w:rsidR="00C60FC7">
        <w:rPr>
          <w:rFonts w:cstheme="minorHAnsi"/>
        </w:rPr>
        <w:t>296</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C60FC7">
        <w:rPr>
          <w:rFonts w:cstheme="minorHAnsi"/>
        </w:rPr>
        <w:t>509</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rsidR="00975153" w:rsidRDefault="00975153" w:rsidP="00B07563">
      <w:pPr>
        <w:tabs>
          <w:tab w:val="left" w:pos="0"/>
        </w:tabs>
        <w:spacing w:after="0" w:line="240" w:lineRule="auto"/>
        <w:rPr>
          <w:rFonts w:cstheme="minorHAnsi"/>
        </w:rPr>
      </w:pPr>
    </w:p>
    <w:p w:rsidR="00536AD9" w:rsidRPr="000249BB" w:rsidRDefault="00EA48A8" w:rsidP="00B07563">
      <w:pPr>
        <w:tabs>
          <w:tab w:val="left" w:pos="0"/>
        </w:tabs>
        <w:spacing w:after="0" w:line="240" w:lineRule="auto"/>
        <w:rPr>
          <w:rFonts w:cstheme="minorHAnsi"/>
        </w:rPr>
      </w:pPr>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B5573A">
        <w:rPr>
          <w:rFonts w:cstheme="minorHAnsi"/>
        </w:rPr>
        <w:t>marzo</w:t>
      </w:r>
      <w:bookmarkStart w:id="0" w:name="_GoBack"/>
      <w:bookmarkEnd w:id="0"/>
      <w:r w:rsidR="00CA6C7B" w:rsidRPr="005609FB">
        <w:rPr>
          <w:rFonts w:cstheme="minorHAnsi"/>
        </w:rPr>
        <w:t>.</w:t>
      </w:r>
    </w:p>
    <w:p w:rsidR="00EA48A8" w:rsidRPr="000249BB" w:rsidRDefault="00EA48A8" w:rsidP="00B07563">
      <w:pPr>
        <w:tabs>
          <w:tab w:val="left" w:pos="0"/>
        </w:tabs>
        <w:spacing w:after="0" w:line="240" w:lineRule="auto"/>
        <w:rPr>
          <w:rFonts w:cstheme="minorHAnsi"/>
        </w:rPr>
      </w:pPr>
    </w:p>
    <w:p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00AD2786" w:rsidRPr="000249BB">
        <w:rPr>
          <w:rFonts w:cstheme="minorHAnsi"/>
        </w:rPr>
        <w:t xml:space="preserve">que </w:t>
      </w:r>
      <w:r w:rsidR="000249BB" w:rsidRPr="000249BB">
        <w:rPr>
          <w:rFonts w:cstheme="minorHAnsi"/>
        </w:rPr>
        <w:t xml:space="preserve">comenzó a funcionar el </w:t>
      </w:r>
      <w:r w:rsidR="00D17B24">
        <w:rPr>
          <w:rFonts w:cstheme="minorHAnsi"/>
        </w:rPr>
        <w:t>27 de septiembre pasado-</w:t>
      </w:r>
      <w:r w:rsidR="00B07563">
        <w:rPr>
          <w:rFonts w:cstheme="minorHAnsi"/>
        </w:rPr>
        <w:t xml:space="preserve"> </w:t>
      </w:r>
      <w:r w:rsidRPr="000249BB">
        <w:rPr>
          <w:rFonts w:cstheme="minorHAnsi"/>
        </w:rPr>
        <w:t>registró ingresos tributarios por un total de $</w:t>
      </w:r>
      <w:r w:rsidR="006C0908">
        <w:rPr>
          <w:rFonts w:cstheme="minorHAnsi"/>
        </w:rPr>
        <w:t xml:space="preserve"> </w:t>
      </w:r>
      <w:r w:rsidR="000B5535">
        <w:rPr>
          <w:rFonts w:cstheme="minorHAnsi"/>
        </w:rPr>
        <w:t>1</w:t>
      </w:r>
      <w:r w:rsidR="00C60FC7">
        <w:rPr>
          <w:rFonts w:cstheme="minorHAnsi"/>
        </w:rPr>
        <w:t>6</w:t>
      </w:r>
      <w:r w:rsidR="000B5535">
        <w:rPr>
          <w:rFonts w:cstheme="minorHAnsi"/>
        </w:rPr>
        <w:t>9</w:t>
      </w:r>
      <w:r w:rsidRPr="000249BB">
        <w:rPr>
          <w:rFonts w:cstheme="minorHAnsi"/>
        </w:rPr>
        <w:t xml:space="preserve"> millones, </w:t>
      </w:r>
      <w:r w:rsidR="00426C10">
        <w:rPr>
          <w:rFonts w:cstheme="minorHAnsi"/>
        </w:rPr>
        <w:t xml:space="preserve">de los cuales </w:t>
      </w:r>
      <w:r w:rsidR="009B4872" w:rsidRPr="000249BB">
        <w:rPr>
          <w:rFonts w:cstheme="minorHAnsi"/>
        </w:rPr>
        <w:t>$</w:t>
      </w:r>
      <w:r w:rsidR="009B4872">
        <w:rPr>
          <w:rFonts w:cstheme="minorHAnsi"/>
        </w:rPr>
        <w:t xml:space="preserve"> 28</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28</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54</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59</w:t>
      </w:r>
      <w:r w:rsidRPr="000249BB">
        <w:rPr>
          <w:rFonts w:cstheme="minorHAnsi"/>
        </w:rPr>
        <w:t xml:space="preserve"> millones por concepto de entrada.</w:t>
      </w:r>
    </w:p>
    <w:p w:rsidR="000249BB" w:rsidRPr="000249BB" w:rsidRDefault="000249BB" w:rsidP="00B07563">
      <w:pPr>
        <w:tabs>
          <w:tab w:val="left" w:pos="0"/>
        </w:tabs>
        <w:spacing w:after="0" w:line="240" w:lineRule="auto"/>
        <w:rPr>
          <w:rFonts w:cstheme="minorHAnsi"/>
        </w:rPr>
      </w:pPr>
    </w:p>
    <w:p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6C0908">
        <w:rPr>
          <w:rFonts w:cstheme="minorHAnsi"/>
        </w:rPr>
        <w:t xml:space="preserve"> </w:t>
      </w:r>
      <w:r w:rsidRPr="000249BB">
        <w:rPr>
          <w:rFonts w:cstheme="minorHAnsi"/>
        </w:rPr>
        <w:t>1.1</w:t>
      </w:r>
      <w:r w:rsidR="00C60FC7">
        <w:rPr>
          <w:rFonts w:cstheme="minorHAnsi"/>
        </w:rPr>
        <w:t>66</w:t>
      </w:r>
      <w:r w:rsidRPr="000249BB">
        <w:rPr>
          <w:rFonts w:cstheme="minorHAnsi"/>
        </w:rPr>
        <w:t xml:space="preserve"> millones, de los cuales $</w:t>
      </w:r>
      <w:r w:rsidR="006C0908">
        <w:rPr>
          <w:rFonts w:cstheme="minorHAnsi"/>
        </w:rPr>
        <w:t xml:space="preserve"> </w:t>
      </w:r>
      <w:r w:rsidRPr="000249BB">
        <w:rPr>
          <w:rFonts w:cstheme="minorHAnsi"/>
        </w:rPr>
        <w:t>2</w:t>
      </w:r>
      <w:r w:rsidR="00C60FC7">
        <w:rPr>
          <w:rFonts w:cstheme="minorHAnsi"/>
        </w:rPr>
        <w:t>46</w:t>
      </w:r>
      <w:r w:rsidRPr="000249BB">
        <w:rPr>
          <w:rFonts w:cstheme="minorHAnsi"/>
        </w:rPr>
        <w:t xml:space="preserve"> millones se destinan al Gobierno Regional, en tanto que $</w:t>
      </w:r>
      <w:r w:rsidR="00C60FC7">
        <w:rPr>
          <w:rFonts w:cstheme="minorHAnsi"/>
        </w:rPr>
        <w:t xml:space="preserve"> 80</w:t>
      </w:r>
      <w:r w:rsidRPr="000249BB">
        <w:rPr>
          <w:rFonts w:cstheme="minorHAnsi"/>
        </w:rPr>
        <w:t xml:space="preserve"> millones y $</w:t>
      </w:r>
      <w:r w:rsidR="00C60FC7">
        <w:rPr>
          <w:rFonts w:cstheme="minorHAnsi"/>
        </w:rPr>
        <w:t xml:space="preserve"> 165</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Pr="000249BB">
        <w:rPr>
          <w:rFonts w:cstheme="minorHAnsi"/>
        </w:rPr>
        <w:t>1</w:t>
      </w:r>
      <w:r w:rsidR="00C60FC7">
        <w:rPr>
          <w:rFonts w:cstheme="minorHAnsi"/>
        </w:rPr>
        <w:t>60</w:t>
      </w:r>
      <w:r w:rsidRPr="000249BB">
        <w:rPr>
          <w:rFonts w:cstheme="minorHAnsi"/>
        </w:rPr>
        <w:t xml:space="preserve"> millones de por concepto de IVA y $</w:t>
      </w:r>
      <w:r w:rsidR="00C60FC7">
        <w:rPr>
          <w:rFonts w:cstheme="minorHAnsi"/>
        </w:rPr>
        <w:t xml:space="preserve"> </w:t>
      </w:r>
      <w:r w:rsidRPr="000249BB">
        <w:rPr>
          <w:rFonts w:cstheme="minorHAnsi"/>
        </w:rPr>
        <w:t>5</w:t>
      </w:r>
      <w:r w:rsidR="00C60FC7">
        <w:rPr>
          <w:rFonts w:cstheme="minorHAnsi"/>
        </w:rPr>
        <w:t>9</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C60FC7">
        <w:rPr>
          <w:rFonts w:cstheme="minorHAnsi"/>
        </w:rPr>
        <w:t>34</w:t>
      </w:r>
      <w:r w:rsidRPr="000249BB">
        <w:rPr>
          <w:rFonts w:cstheme="minorHAnsi"/>
        </w:rPr>
        <w:t xml:space="preserve"> millones por concepto de IVA y $</w:t>
      </w:r>
      <w:r w:rsidR="00C60FC7">
        <w:rPr>
          <w:rFonts w:cstheme="minorHAnsi"/>
        </w:rPr>
        <w:t xml:space="preserve"> </w:t>
      </w:r>
      <w:r w:rsidRPr="000249BB">
        <w:rPr>
          <w:rFonts w:cstheme="minorHAnsi"/>
        </w:rPr>
        <w:t>1</w:t>
      </w:r>
      <w:r w:rsidR="00C60FC7">
        <w:rPr>
          <w:rFonts w:cstheme="minorHAnsi"/>
        </w:rPr>
        <w:t>22</w:t>
      </w:r>
      <w:r w:rsidRPr="000249BB">
        <w:rPr>
          <w:rFonts w:cstheme="minorHAnsi"/>
        </w:rPr>
        <w:t xml:space="preserve"> millones por concepto de entrada.</w:t>
      </w:r>
    </w:p>
    <w:p w:rsidR="00B07563" w:rsidRPr="000249BB" w:rsidRDefault="00B07563" w:rsidP="00B07563">
      <w:pPr>
        <w:tabs>
          <w:tab w:val="left" w:pos="0"/>
          <w:tab w:val="left" w:pos="6285"/>
        </w:tabs>
        <w:spacing w:after="0" w:line="240" w:lineRule="auto"/>
        <w:rPr>
          <w:rFonts w:cstheme="minorHAnsi"/>
        </w:rPr>
      </w:pPr>
    </w:p>
    <w:p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40</w:t>
      </w:r>
      <w:r w:rsidR="00067327">
        <w:rPr>
          <w:rFonts w:cstheme="minorHAnsi"/>
        </w:rPr>
        <w:t>0</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82</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82</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C60FC7">
        <w:rPr>
          <w:rFonts w:cstheme="minorHAnsi"/>
        </w:rPr>
        <w:t>65</w:t>
      </w:r>
      <w:r w:rsidRPr="000249BB">
        <w:rPr>
          <w:rFonts w:cstheme="minorHAnsi"/>
        </w:rPr>
        <w:t xml:space="preserve"> millones por concepto de IVA y $</w:t>
      </w:r>
      <w:r w:rsidR="00C60FC7">
        <w:rPr>
          <w:rFonts w:cstheme="minorHAnsi"/>
        </w:rPr>
        <w:t xml:space="preserve"> </w:t>
      </w:r>
      <w:r w:rsidRPr="000249BB">
        <w:rPr>
          <w:rFonts w:cstheme="minorHAnsi"/>
        </w:rPr>
        <w:t>7</w:t>
      </w:r>
      <w:r w:rsidR="00C60FC7">
        <w:rPr>
          <w:rFonts w:cstheme="minorHAnsi"/>
        </w:rPr>
        <w:t>1</w:t>
      </w:r>
      <w:r w:rsidRPr="000249BB">
        <w:rPr>
          <w:rFonts w:cstheme="minorHAnsi"/>
        </w:rPr>
        <w:t xml:space="preserve"> millones por concepto de entrada.</w:t>
      </w:r>
    </w:p>
    <w:p w:rsidR="000249BB" w:rsidRPr="000249BB" w:rsidRDefault="000249BB" w:rsidP="00B07563">
      <w:pPr>
        <w:tabs>
          <w:tab w:val="left" w:pos="0"/>
          <w:tab w:val="left" w:pos="6285"/>
        </w:tabs>
        <w:spacing w:after="0" w:line="240" w:lineRule="auto"/>
        <w:rPr>
          <w:rFonts w:cstheme="minorHAnsi"/>
        </w:rPr>
      </w:pPr>
    </w:p>
    <w:p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C60FC7">
        <w:rPr>
          <w:rFonts w:ascii="Calibri" w:hAnsi="Calibri" w:cs="Calibri"/>
        </w:rPr>
        <w:t>5</w:t>
      </w:r>
      <w:r w:rsidR="00067327">
        <w:rPr>
          <w:rFonts w:ascii="Calibri" w:hAnsi="Calibri" w:cs="Calibri"/>
        </w:rPr>
        <w:t>0</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Pr="00EA48A8">
        <w:rPr>
          <w:rFonts w:ascii="Calibri" w:hAnsi="Calibri" w:cs="Calibri"/>
        </w:rPr>
        <w:t>2</w:t>
      </w:r>
      <w:r w:rsidR="00C60FC7">
        <w:rPr>
          <w:rFonts w:ascii="Calibri" w:hAnsi="Calibri" w:cs="Calibri"/>
        </w:rPr>
        <w:t>7</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Pr="00EA48A8">
        <w:rPr>
          <w:rFonts w:ascii="Calibri" w:hAnsi="Calibri" w:cs="Calibri"/>
        </w:rPr>
        <w:t>2</w:t>
      </w:r>
      <w:r w:rsidR="00C60FC7">
        <w:rPr>
          <w:rFonts w:ascii="Calibri" w:hAnsi="Calibri" w:cs="Calibri"/>
        </w:rPr>
        <w:t>7</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la Municipalidad de Copiapó</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067327">
        <w:rPr>
          <w:rFonts w:ascii="Calibri" w:hAnsi="Calibri" w:cs="Calibri"/>
        </w:rPr>
        <w:t>5</w:t>
      </w:r>
      <w:r w:rsidR="00C60FC7">
        <w:rPr>
          <w:rFonts w:ascii="Calibri" w:hAnsi="Calibri" w:cs="Calibri"/>
        </w:rPr>
        <w:t>1</w:t>
      </w:r>
      <w:r w:rsidRPr="00EA48A8">
        <w:rPr>
          <w:rFonts w:ascii="Calibri" w:hAnsi="Calibri" w:cs="Calibri"/>
        </w:rPr>
        <w:t xml:space="preserve"> millones por concepto de IVA y $</w:t>
      </w:r>
      <w:r w:rsidR="00C60FC7">
        <w:rPr>
          <w:rFonts w:ascii="Calibri" w:hAnsi="Calibri" w:cs="Calibri"/>
        </w:rPr>
        <w:t xml:space="preserve"> 45</w:t>
      </w:r>
      <w:r w:rsidRPr="00EA48A8">
        <w:rPr>
          <w:rFonts w:ascii="Calibri" w:hAnsi="Calibri" w:cs="Calibri"/>
        </w:rPr>
        <w:t xml:space="preserve"> millones por concepto de entrada.</w:t>
      </w:r>
    </w:p>
    <w:p w:rsidR="00B07563" w:rsidRPr="00EA48A8" w:rsidRDefault="00B07563"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067327">
        <w:rPr>
          <w:rFonts w:ascii="Calibri" w:hAnsi="Calibri" w:cs="Calibri"/>
        </w:rPr>
        <w:t>4</w:t>
      </w:r>
      <w:r w:rsidR="00C60FC7">
        <w:rPr>
          <w:rFonts w:ascii="Calibri" w:hAnsi="Calibri" w:cs="Calibri"/>
        </w:rPr>
        <w:t>90</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3</w:t>
      </w:r>
      <w:r w:rsidR="00C60FC7">
        <w:rPr>
          <w:rFonts w:ascii="Calibri" w:hAnsi="Calibri" w:cs="Calibri"/>
        </w:rPr>
        <w:t>40</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5</w:t>
      </w:r>
      <w:r w:rsidR="00C60FC7">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00067327">
        <w:rPr>
          <w:rFonts w:ascii="Calibri" w:hAnsi="Calibri" w:cs="Calibri"/>
        </w:rPr>
        <w:t>2</w:t>
      </w:r>
      <w:r w:rsidR="00C60FC7">
        <w:rPr>
          <w:rFonts w:ascii="Calibri" w:hAnsi="Calibri" w:cs="Calibri"/>
        </w:rPr>
        <w:t>81</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067327">
        <w:rPr>
          <w:rFonts w:ascii="Calibri" w:hAnsi="Calibri" w:cs="Calibri"/>
        </w:rPr>
        <w:t>1</w:t>
      </w:r>
      <w:r w:rsidR="00C60FC7">
        <w:rPr>
          <w:rFonts w:ascii="Calibri" w:hAnsi="Calibri" w:cs="Calibri"/>
        </w:rPr>
        <w:t>2</w:t>
      </w:r>
      <w:r w:rsidRPr="00EA48A8">
        <w:rPr>
          <w:rFonts w:ascii="Calibri" w:hAnsi="Calibri" w:cs="Calibri"/>
        </w:rPr>
        <w:t xml:space="preserve"> millones por concepto de IVA y $</w:t>
      </w:r>
      <w:r w:rsidR="00C60FC7">
        <w:rPr>
          <w:rFonts w:ascii="Calibri" w:hAnsi="Calibri" w:cs="Calibri"/>
        </w:rPr>
        <w:t xml:space="preserve"> </w:t>
      </w:r>
      <w:r w:rsidRPr="00EA48A8">
        <w:rPr>
          <w:rFonts w:ascii="Calibri" w:hAnsi="Calibri" w:cs="Calibri"/>
        </w:rPr>
        <w:t>6</w:t>
      </w:r>
      <w:r w:rsidR="00067327">
        <w:rPr>
          <w:rFonts w:ascii="Calibri" w:hAnsi="Calibri" w:cs="Calibri"/>
        </w:rPr>
        <w:t>5</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067327">
        <w:rPr>
          <w:rFonts w:ascii="Calibri" w:hAnsi="Calibri" w:cs="Calibri"/>
        </w:rPr>
        <w:t>5</w:t>
      </w:r>
      <w:r w:rsidR="00C60FC7">
        <w:rPr>
          <w:rFonts w:ascii="Calibri" w:hAnsi="Calibri" w:cs="Calibri"/>
        </w:rPr>
        <w:t>35</w:t>
      </w:r>
      <w:r w:rsidRPr="00EA48A8">
        <w:rPr>
          <w:rFonts w:ascii="Calibri" w:hAnsi="Calibri" w:cs="Calibri"/>
        </w:rPr>
        <w:t xml:space="preserve"> millones por concepto de IVA y $</w:t>
      </w:r>
      <w:r w:rsidR="00C60FC7">
        <w:rPr>
          <w:rFonts w:ascii="Calibri" w:hAnsi="Calibri" w:cs="Calibri"/>
        </w:rPr>
        <w:t xml:space="preserve"> 99</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C60FC7">
        <w:rPr>
          <w:rFonts w:ascii="Calibri" w:hAnsi="Calibri" w:cs="Calibri"/>
        </w:rPr>
        <w:t>509</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5</w:t>
      </w:r>
      <w:r w:rsidR="00C60FC7">
        <w:rPr>
          <w:rFonts w:ascii="Calibri" w:hAnsi="Calibri" w:cs="Calibri"/>
        </w:rPr>
        <w:t>70</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5</w:t>
      </w:r>
      <w:r w:rsidR="00C60FC7">
        <w:rPr>
          <w:rFonts w:ascii="Calibri" w:hAnsi="Calibri" w:cs="Calibri"/>
        </w:rPr>
        <w:t>31</w:t>
      </w:r>
      <w:r w:rsidRPr="00EA48A8">
        <w:rPr>
          <w:rFonts w:ascii="Calibri" w:hAnsi="Calibri" w:cs="Calibri"/>
        </w:rPr>
        <w:t xml:space="preserve"> millones y $</w:t>
      </w:r>
      <w:r w:rsidR="00C60FC7">
        <w:rPr>
          <w:rFonts w:ascii="Calibri" w:hAnsi="Calibri" w:cs="Calibri"/>
        </w:rPr>
        <w:t xml:space="preserve"> </w:t>
      </w:r>
      <w:r w:rsidR="00067327">
        <w:rPr>
          <w:rFonts w:ascii="Calibri" w:hAnsi="Calibri" w:cs="Calibri"/>
        </w:rPr>
        <w:t>39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Pr="00EA48A8">
        <w:rPr>
          <w:rFonts w:ascii="Calibri" w:hAnsi="Calibri" w:cs="Calibri"/>
        </w:rPr>
        <w:t>1.0</w:t>
      </w:r>
      <w:r w:rsidR="00C60FC7">
        <w:rPr>
          <w:rFonts w:ascii="Calibri" w:hAnsi="Calibri" w:cs="Calibri"/>
        </w:rPr>
        <w:t>49</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C60FC7">
        <w:rPr>
          <w:rFonts w:ascii="Calibri" w:hAnsi="Calibri" w:cs="Calibri"/>
        </w:rPr>
        <w:t>17</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067327">
        <w:rPr>
          <w:rFonts w:ascii="Calibri" w:hAnsi="Calibri" w:cs="Calibri"/>
        </w:rPr>
        <w:t>80</w:t>
      </w:r>
      <w:r w:rsidRPr="00EA48A8">
        <w:rPr>
          <w:rFonts w:ascii="Calibri" w:hAnsi="Calibri" w:cs="Calibri"/>
        </w:rPr>
        <w:t xml:space="preserve"> millones por concepto de IVA y $</w:t>
      </w:r>
      <w:r w:rsidR="00C60FC7">
        <w:rPr>
          <w:rFonts w:ascii="Calibri" w:hAnsi="Calibri" w:cs="Calibri"/>
        </w:rPr>
        <w:t xml:space="preserve"> </w:t>
      </w:r>
      <w:r w:rsidRPr="00EA48A8">
        <w:rPr>
          <w:rFonts w:ascii="Calibri" w:hAnsi="Calibri" w:cs="Calibri"/>
        </w:rPr>
        <w:t>2</w:t>
      </w:r>
      <w:r w:rsidR="00C60FC7">
        <w:rPr>
          <w:rFonts w:ascii="Calibri" w:hAnsi="Calibri" w:cs="Calibri"/>
        </w:rPr>
        <w:t>3</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Pr="00EA48A8">
        <w:rPr>
          <w:rFonts w:ascii="Calibri" w:hAnsi="Calibri" w:cs="Calibri"/>
        </w:rPr>
        <w:t>3</w:t>
      </w:r>
      <w:r w:rsidR="00C60FC7">
        <w:rPr>
          <w:rFonts w:ascii="Calibri" w:hAnsi="Calibri" w:cs="Calibri"/>
        </w:rPr>
        <w:t>54</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74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Pr="00EA48A8">
        <w:rPr>
          <w:rFonts w:ascii="Calibri" w:hAnsi="Calibri" w:cs="Calibri"/>
        </w:rPr>
        <w:t>7</w:t>
      </w:r>
      <w:r w:rsidR="00C60FC7">
        <w:rPr>
          <w:rFonts w:ascii="Calibri" w:hAnsi="Calibri" w:cs="Calibri"/>
        </w:rPr>
        <w:t>4</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C60FC7">
        <w:rPr>
          <w:rFonts w:ascii="Calibri" w:hAnsi="Calibri" w:cs="Calibri"/>
        </w:rPr>
        <w:t>5</w:t>
      </w:r>
      <w:r w:rsidR="00067327">
        <w:rPr>
          <w:rFonts w:ascii="Calibri" w:hAnsi="Calibri" w:cs="Calibri"/>
        </w:rPr>
        <w:t>0</w:t>
      </w:r>
      <w:r w:rsidRPr="00EA48A8">
        <w:rPr>
          <w:rFonts w:ascii="Calibri" w:hAnsi="Calibri" w:cs="Calibri"/>
        </w:rPr>
        <w:t xml:space="preserve"> millones por concepto de IVA y $</w:t>
      </w:r>
      <w:r w:rsidR="00C60FC7">
        <w:rPr>
          <w:rFonts w:ascii="Calibri" w:hAnsi="Calibri" w:cs="Calibri"/>
        </w:rPr>
        <w:t xml:space="preserve"> 56</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C60FC7">
        <w:rPr>
          <w:rFonts w:ascii="Calibri" w:hAnsi="Calibri" w:cs="Calibri"/>
        </w:rPr>
        <w:t>589</w:t>
      </w:r>
      <w:r w:rsidRPr="00EA48A8">
        <w:rPr>
          <w:rFonts w:ascii="Calibri" w:hAnsi="Calibri" w:cs="Calibri"/>
        </w:rPr>
        <w:t xml:space="preserve"> millones, de los cuales $</w:t>
      </w:r>
      <w:r w:rsidR="00C60FC7">
        <w:rPr>
          <w:rFonts w:ascii="Calibri" w:hAnsi="Calibri" w:cs="Calibri"/>
        </w:rPr>
        <w:t xml:space="preserve"> </w:t>
      </w:r>
      <w:r w:rsidRPr="00EA48A8">
        <w:rPr>
          <w:rFonts w:ascii="Calibri" w:hAnsi="Calibri" w:cs="Calibri"/>
        </w:rPr>
        <w:t>3</w:t>
      </w:r>
      <w:r w:rsidR="00C60FC7">
        <w:rPr>
          <w:rFonts w:ascii="Calibri" w:hAnsi="Calibri" w:cs="Calibri"/>
        </w:rPr>
        <w:t>32</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C60FC7">
        <w:rPr>
          <w:rFonts w:ascii="Calibri" w:hAnsi="Calibri" w:cs="Calibri"/>
        </w:rPr>
        <w:t>98</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C60FC7">
        <w:rPr>
          <w:rFonts w:ascii="Calibri" w:hAnsi="Calibri" w:cs="Calibri"/>
        </w:rPr>
        <w:t>4</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Pr="00EA48A8">
        <w:rPr>
          <w:rFonts w:ascii="Calibri" w:hAnsi="Calibri" w:cs="Calibri"/>
        </w:rPr>
        <w:t>5</w:t>
      </w:r>
      <w:r w:rsidR="00C60FC7">
        <w:rPr>
          <w:rFonts w:ascii="Calibri" w:hAnsi="Calibri" w:cs="Calibri"/>
        </w:rPr>
        <w:t>92</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22</w:t>
      </w:r>
      <w:r w:rsidR="00C60FC7">
        <w:rPr>
          <w:rFonts w:ascii="Calibri" w:hAnsi="Calibri" w:cs="Calibri"/>
        </w:rPr>
        <w:t>5</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66</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41</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696</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14</w:t>
      </w:r>
      <w:r w:rsidR="00DD3AA0">
        <w:rPr>
          <w:rFonts w:ascii="Calibri" w:hAnsi="Calibri" w:cs="Calibri"/>
        </w:rPr>
        <w:t>3</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14</w:t>
      </w:r>
      <w:r w:rsidR="00DD3AA0">
        <w:rPr>
          <w:rFonts w:ascii="Calibri" w:hAnsi="Calibri" w:cs="Calibri"/>
        </w:rPr>
        <w:t>3</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Pr="00DB3239">
        <w:rPr>
          <w:rFonts w:ascii="Calibri" w:hAnsi="Calibri" w:cs="Calibri"/>
        </w:rPr>
        <w:t>28</w:t>
      </w:r>
      <w:r w:rsidR="00DD3AA0">
        <w:rPr>
          <w:rFonts w:ascii="Calibri" w:hAnsi="Calibri" w:cs="Calibri"/>
        </w:rPr>
        <w:t>5</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DD3AA0">
        <w:rPr>
          <w:rFonts w:ascii="Calibri" w:hAnsi="Calibri" w:cs="Calibri"/>
        </w:rPr>
        <w:t>24</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067327">
        <w:rPr>
          <w:rFonts w:ascii="Calibri" w:hAnsi="Calibri" w:cs="Calibri"/>
        </w:rPr>
        <w:t>41</w:t>
      </w:r>
      <w:r w:rsidR="00DD3AA0">
        <w:rPr>
          <w:rFonts w:ascii="Calibri" w:hAnsi="Calibri" w:cs="Calibri"/>
        </w:rPr>
        <w:t>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8</w:t>
      </w:r>
      <w:r w:rsidR="00067327">
        <w:rPr>
          <w:rFonts w:ascii="Calibri" w:hAnsi="Calibri" w:cs="Calibri"/>
        </w:rPr>
        <w:t>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8</w:t>
      </w:r>
      <w:r w:rsidR="00067327">
        <w:rPr>
          <w:rFonts w:ascii="Calibri" w:hAnsi="Calibri" w:cs="Calibri"/>
        </w:rPr>
        <w:t>6</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067327">
        <w:rPr>
          <w:rFonts w:ascii="Calibri" w:hAnsi="Calibri" w:cs="Calibri"/>
        </w:rPr>
        <w:t>6</w:t>
      </w:r>
      <w:r w:rsidR="00DD3AA0">
        <w:rPr>
          <w:rFonts w:ascii="Calibri" w:hAnsi="Calibri" w:cs="Calibri"/>
        </w:rPr>
        <w:t>6</w:t>
      </w:r>
      <w:r w:rsidRPr="00EA48A8">
        <w:rPr>
          <w:rFonts w:ascii="Calibri" w:hAnsi="Calibri" w:cs="Calibri"/>
        </w:rPr>
        <w:t xml:space="preserve"> millones por concepto de IVA y $</w:t>
      </w:r>
      <w:r w:rsidR="00DD3AA0">
        <w:rPr>
          <w:rFonts w:ascii="Calibri" w:hAnsi="Calibri" w:cs="Calibri"/>
        </w:rPr>
        <w:t xml:space="preserve"> 78</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Pr="00EA48A8">
        <w:rPr>
          <w:rFonts w:ascii="Calibri" w:hAnsi="Calibri" w:cs="Calibri"/>
        </w:rPr>
        <w:t>4</w:t>
      </w:r>
      <w:r w:rsidR="00DD3AA0">
        <w:rPr>
          <w:rFonts w:ascii="Calibri" w:hAnsi="Calibri" w:cs="Calibri"/>
        </w:rPr>
        <w:t>06</w:t>
      </w:r>
      <w:r w:rsidRPr="00EA48A8">
        <w:rPr>
          <w:rFonts w:ascii="Calibri" w:hAnsi="Calibri" w:cs="Calibri"/>
        </w:rPr>
        <w:t xml:space="preserve"> millones, de los cuales $</w:t>
      </w:r>
      <w:r w:rsidR="00DD3AA0">
        <w:rPr>
          <w:rFonts w:ascii="Calibri" w:hAnsi="Calibri" w:cs="Calibri"/>
        </w:rPr>
        <w:t xml:space="preserve"> 84</w:t>
      </w:r>
      <w:r w:rsidRPr="00EA48A8">
        <w:rPr>
          <w:rFonts w:ascii="Calibri" w:hAnsi="Calibri" w:cs="Calibri"/>
        </w:rPr>
        <w:t xml:space="preserve"> millones se destinan al Gobierno Regional, en tanto que $</w:t>
      </w:r>
      <w:r w:rsidR="00DD3AA0">
        <w:rPr>
          <w:rFonts w:ascii="Calibri" w:hAnsi="Calibri" w:cs="Calibri"/>
        </w:rPr>
        <w:t xml:space="preserve"> 59</w:t>
      </w:r>
      <w:r w:rsidRPr="00EA48A8">
        <w:rPr>
          <w:rFonts w:ascii="Calibri" w:hAnsi="Calibri" w:cs="Calibri"/>
        </w:rPr>
        <w:t xml:space="preserve"> millones y $</w:t>
      </w:r>
      <w:r w:rsidR="00DD3AA0">
        <w:rPr>
          <w:rFonts w:ascii="Calibri" w:hAnsi="Calibri" w:cs="Calibri"/>
        </w:rPr>
        <w:t xml:space="preserve"> 25</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DD3AA0">
        <w:rPr>
          <w:rFonts w:ascii="Calibri" w:hAnsi="Calibri" w:cs="Calibri"/>
        </w:rPr>
        <w:t>18</w:t>
      </w:r>
      <w:r w:rsidRPr="00EA48A8">
        <w:rPr>
          <w:rFonts w:ascii="Calibri" w:hAnsi="Calibri" w:cs="Calibri"/>
        </w:rPr>
        <w:t xml:space="preserve"> millones de por concepto de IVA y $</w:t>
      </w:r>
      <w:r w:rsidR="00DD3AA0">
        <w:rPr>
          <w:rFonts w:ascii="Calibri" w:hAnsi="Calibri" w:cs="Calibri"/>
        </w:rPr>
        <w:t xml:space="preserve"> </w:t>
      </w:r>
      <w:r w:rsidRPr="00EA48A8">
        <w:rPr>
          <w:rFonts w:ascii="Calibri" w:hAnsi="Calibri" w:cs="Calibri"/>
        </w:rPr>
        <w:t>5</w:t>
      </w:r>
      <w:r w:rsidR="00067327">
        <w:rPr>
          <w:rFonts w:ascii="Calibri" w:hAnsi="Calibri" w:cs="Calibri"/>
        </w:rPr>
        <w:t>1</w:t>
      </w:r>
      <w:r w:rsidRPr="00EA48A8">
        <w:rPr>
          <w:rFonts w:ascii="Calibri" w:hAnsi="Calibri" w:cs="Calibri"/>
        </w:rPr>
        <w:t xml:space="preserve"> millones por concepto de entrada. A su vez, Enjoy Chiloé generó aportes de $</w:t>
      </w:r>
      <w:r w:rsidR="00DD3AA0">
        <w:rPr>
          <w:rFonts w:ascii="Calibri" w:hAnsi="Calibri" w:cs="Calibri"/>
        </w:rPr>
        <w:t xml:space="preserve"> 48</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2</w:t>
      </w:r>
      <w:r w:rsidR="00DD3AA0">
        <w:rPr>
          <w:rFonts w:ascii="Calibri" w:hAnsi="Calibri" w:cs="Calibri"/>
        </w:rPr>
        <w:t>2</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DD3AA0">
        <w:rPr>
          <w:rFonts w:ascii="Calibri" w:hAnsi="Calibri" w:cs="Calibri"/>
        </w:rPr>
        <w:t>78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3</w:t>
      </w:r>
      <w:r w:rsidR="00067327">
        <w:rPr>
          <w:rFonts w:ascii="Calibri" w:hAnsi="Calibri" w:cs="Calibri"/>
        </w:rPr>
        <w:t>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3</w:t>
      </w:r>
      <w:r w:rsidR="00067327">
        <w:rPr>
          <w:rFonts w:ascii="Calibri" w:hAnsi="Calibri" w:cs="Calibri"/>
        </w:rPr>
        <w:t>7</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67327">
        <w:rPr>
          <w:rFonts w:ascii="Calibri" w:hAnsi="Calibri" w:cs="Calibri"/>
        </w:rPr>
        <w:t>71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DD3AA0">
        <w:rPr>
          <w:rFonts w:ascii="Calibri" w:hAnsi="Calibri" w:cs="Calibri"/>
        </w:rPr>
        <w:t>3</w:t>
      </w:r>
      <w:r w:rsidRPr="00EA48A8">
        <w:rPr>
          <w:rFonts w:ascii="Calibri" w:hAnsi="Calibri" w:cs="Calibri"/>
        </w:rPr>
        <w:t xml:space="preserve"> millones por concepto de entrada.</w:t>
      </w:r>
    </w:p>
    <w:p w:rsidR="003C18CD" w:rsidRDefault="003C18CD" w:rsidP="00B07563">
      <w:pPr>
        <w:tabs>
          <w:tab w:val="left" w:pos="0"/>
          <w:tab w:val="left" w:pos="6285"/>
        </w:tabs>
        <w:spacing w:after="0" w:line="240" w:lineRule="auto"/>
        <w:rPr>
          <w:rFonts w:ascii="Calibri" w:hAnsi="Calibri" w:cs="Calibri"/>
        </w:rPr>
      </w:pPr>
    </w:p>
    <w:p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Magallanes, Dreams Punta Arenas registró ingresos tributarios por un total de $</w:t>
      </w:r>
      <w:r w:rsidR="00DD3AA0">
        <w:rPr>
          <w:rFonts w:ascii="Calibri" w:hAnsi="Calibri" w:cs="Calibri"/>
        </w:rPr>
        <w:t xml:space="preserve"> 644</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DD3AA0">
        <w:rPr>
          <w:rFonts w:ascii="Calibri" w:hAnsi="Calibri" w:cs="Calibri"/>
        </w:rPr>
        <w:t>32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DD3AA0">
        <w:rPr>
          <w:rFonts w:ascii="Calibri" w:hAnsi="Calibri" w:cs="Calibri"/>
        </w:rPr>
        <w:t>32</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DD3AA0">
        <w:rPr>
          <w:rFonts w:ascii="Calibri" w:hAnsi="Calibri" w:cs="Calibri"/>
        </w:rPr>
        <w:t>63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11</w:t>
      </w:r>
      <w:r w:rsidR="00DD3AA0">
        <w:rPr>
          <w:rFonts w:ascii="Calibri" w:hAnsi="Calibri" w:cs="Calibri"/>
        </w:rPr>
        <w:t>8</w:t>
      </w:r>
      <w:r w:rsidRPr="00EA48A8">
        <w:rPr>
          <w:rFonts w:ascii="Calibri" w:hAnsi="Calibri" w:cs="Calibri"/>
        </w:rPr>
        <w:t xml:space="preserve"> millones por concepto de entrada.</w:t>
      </w:r>
    </w:p>
    <w:p w:rsidR="00330D14" w:rsidRDefault="00330D14" w:rsidP="00B07563">
      <w:pPr>
        <w:tabs>
          <w:tab w:val="left" w:pos="0"/>
          <w:tab w:val="left" w:pos="6285"/>
        </w:tabs>
        <w:spacing w:after="0" w:line="240" w:lineRule="auto"/>
        <w:rPr>
          <w:rFonts w:ascii="Calibri" w:hAnsi="Calibri" w:cs="Calibri"/>
        </w:rPr>
      </w:pPr>
    </w:p>
    <w:p w:rsidR="00330D14" w:rsidRDefault="00330D14" w:rsidP="00330D14">
      <w:pPr>
        <w:pStyle w:val="Prrafodelista"/>
        <w:tabs>
          <w:tab w:val="left" w:pos="0"/>
        </w:tabs>
        <w:ind w:left="0"/>
        <w:rPr>
          <w:b/>
        </w:rPr>
      </w:pPr>
      <w:r w:rsidRPr="003D15B6">
        <w:rPr>
          <w:b/>
        </w:rPr>
        <w:t xml:space="preserve">Impuestos, valores nominales: </w:t>
      </w:r>
      <w:r w:rsidR="00DD3AA0">
        <w:rPr>
          <w:b/>
        </w:rPr>
        <w:t>diciembre</w:t>
      </w:r>
      <w:r>
        <w:rPr>
          <w:b/>
        </w:rPr>
        <w:t xml:space="preserve"> </w:t>
      </w:r>
      <w:r w:rsidRPr="003D15B6">
        <w:rPr>
          <w:b/>
        </w:rPr>
        <w:t>de 201</w:t>
      </w:r>
      <w:r>
        <w:rPr>
          <w:b/>
        </w:rPr>
        <w:t>7</w:t>
      </w:r>
    </w:p>
    <w:p w:rsidR="00067327" w:rsidRDefault="00067327" w:rsidP="00330D14">
      <w:pPr>
        <w:pStyle w:val="Prrafodelista"/>
        <w:tabs>
          <w:tab w:val="left" w:pos="0"/>
        </w:tabs>
        <w:ind w:left="0"/>
        <w:rPr>
          <w:rFonts w:ascii="Calibri" w:hAnsi="Calibri" w:cs="Calibri"/>
        </w:rPr>
      </w:pPr>
    </w:p>
    <w:tbl>
      <w:tblPr>
        <w:tblW w:w="0" w:type="auto"/>
        <w:tblCellMar>
          <w:left w:w="70" w:type="dxa"/>
          <w:right w:w="70" w:type="dxa"/>
        </w:tblCellMar>
        <w:tblLook w:val="04A0" w:firstRow="1" w:lastRow="0" w:firstColumn="1" w:lastColumn="0" w:noHBand="0" w:noVBand="1"/>
      </w:tblPr>
      <w:tblGrid>
        <w:gridCol w:w="1316"/>
        <w:gridCol w:w="2342"/>
        <w:gridCol w:w="1195"/>
        <w:gridCol w:w="1427"/>
        <w:gridCol w:w="553"/>
        <w:gridCol w:w="1026"/>
        <w:gridCol w:w="645"/>
      </w:tblGrid>
      <w:tr w:rsidR="00DD3AA0" w:rsidRPr="00DD3AA0" w:rsidTr="00DD3AA0">
        <w:trPr>
          <w:trHeight w:val="300"/>
        </w:trPr>
        <w:tc>
          <w:tcPr>
            <w:tcW w:w="0" w:type="auto"/>
            <w:gridSpan w:val="7"/>
            <w:tcBorders>
              <w:top w:val="nil"/>
              <w:left w:val="nil"/>
              <w:bottom w:val="nil"/>
              <w:right w:val="nil"/>
            </w:tcBorders>
            <w:shd w:val="clear" w:color="000000" w:fill="1F497D"/>
            <w:noWrap/>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IMPUESTOS diciembre 2017 ($ Millones)</w:t>
            </w:r>
          </w:p>
        </w:tc>
      </w:tr>
      <w:tr w:rsidR="00DD3AA0" w:rsidRPr="00DD3AA0" w:rsidTr="00DD3AA0">
        <w:trPr>
          <w:trHeight w:val="1095"/>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 xml:space="preserve"> 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center"/>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Total</w:t>
            </w: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Tarapacá</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 xml:space="preserve">Casino </w:t>
            </w:r>
            <w:proofErr w:type="spellStart"/>
            <w:r w:rsidRPr="00DD3AA0">
              <w:rPr>
                <w:rFonts w:ascii="Calibri" w:eastAsia="Times New Roman" w:hAnsi="Calibri" w:cs="Calibri"/>
                <w:color w:val="244062"/>
                <w:sz w:val="18"/>
                <w:szCs w:val="18"/>
                <w:lang w:eastAsia="es-CL"/>
              </w:rPr>
              <w:t>Luckia</w:t>
            </w:r>
            <w:proofErr w:type="spellEnd"/>
            <w:r w:rsidRPr="00DD3AA0">
              <w:rPr>
                <w:rFonts w:ascii="Calibri" w:eastAsia="Times New Roman" w:hAnsi="Calibri" w:cs="Calibri"/>
                <w:color w:val="244062"/>
                <w:sz w:val="18"/>
                <w:szCs w:val="18"/>
                <w:lang w:eastAsia="es-CL"/>
              </w:rPr>
              <w:t xml:space="preserve"> Arica</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28</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28</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54</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59</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169</w:t>
            </w:r>
          </w:p>
        </w:tc>
      </w:tr>
      <w:tr w:rsidR="00DD3AA0" w:rsidRPr="00DD3AA0" w:rsidTr="00DD3AA0">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 xml:space="preserve">De Antofagasta </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246</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80</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160</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59</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1.166</w:t>
            </w:r>
          </w:p>
        </w:tc>
      </w:tr>
      <w:tr w:rsidR="00DD3AA0" w:rsidRPr="00DD3AA0" w:rsidTr="00DD3AA0">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roofErr w:type="spellStart"/>
            <w:r w:rsidRPr="00DD3AA0">
              <w:rPr>
                <w:rFonts w:ascii="Calibri" w:eastAsia="Times New Roman" w:hAnsi="Calibri" w:cs="Calibri"/>
                <w:color w:val="244062"/>
                <w:sz w:val="18"/>
                <w:szCs w:val="18"/>
                <w:lang w:eastAsia="es-CL"/>
              </w:rPr>
              <w:t>Enjoy</w:t>
            </w:r>
            <w:proofErr w:type="spellEnd"/>
            <w:r w:rsidRPr="00DD3AA0">
              <w:rPr>
                <w:rFonts w:ascii="Calibri" w:eastAsia="Times New Roman" w:hAnsi="Calibri" w:cs="Calibri"/>
                <w:color w:val="244062"/>
                <w:sz w:val="18"/>
                <w:szCs w:val="18"/>
                <w:lang w:eastAsia="es-CL"/>
              </w:rPr>
              <w:t xml:space="preserve"> Antofagasta</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165</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334</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122</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roofErr w:type="spellStart"/>
            <w:r w:rsidRPr="00DD3AA0">
              <w:rPr>
                <w:rFonts w:ascii="Calibri" w:eastAsia="Times New Roman" w:hAnsi="Calibri" w:cs="Calibri"/>
                <w:color w:val="244062"/>
                <w:sz w:val="18"/>
                <w:szCs w:val="18"/>
                <w:lang w:eastAsia="es-CL"/>
              </w:rPr>
              <w:t>Antay</w:t>
            </w:r>
            <w:proofErr w:type="spellEnd"/>
            <w:r w:rsidRPr="00DD3AA0">
              <w:rPr>
                <w:rFonts w:ascii="Calibri" w:eastAsia="Times New Roman" w:hAnsi="Calibri" w:cs="Calibri"/>
                <w:color w:val="244062"/>
                <w:sz w:val="18"/>
                <w:szCs w:val="18"/>
                <w:lang w:eastAsia="es-CL"/>
              </w:rPr>
              <w:t xml:space="preserve">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82</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165</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71</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400</w:t>
            </w: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27</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27</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51</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45</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150</w:t>
            </w:r>
          </w:p>
        </w:tc>
      </w:tr>
      <w:tr w:rsidR="00DD3AA0" w:rsidRPr="00DD3AA0" w:rsidTr="00DD3AA0">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340</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59</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112</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65</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1.490</w:t>
            </w:r>
          </w:p>
        </w:tc>
      </w:tr>
      <w:tr w:rsidR="00DD3AA0" w:rsidRPr="00DD3AA0" w:rsidTr="00DD3AA0">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281</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535</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99</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r>
      <w:tr w:rsidR="00DD3AA0" w:rsidRPr="00DD3AA0" w:rsidTr="00DD3AA0">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roofErr w:type="spellStart"/>
            <w:r w:rsidRPr="00DD3AA0">
              <w:rPr>
                <w:rFonts w:ascii="Calibri" w:eastAsia="Times New Roman" w:hAnsi="Calibri" w:cs="Calibri"/>
                <w:color w:val="244062"/>
                <w:sz w:val="18"/>
                <w:szCs w:val="18"/>
                <w:lang w:eastAsia="es-CL"/>
              </w:rPr>
              <w:t>Sun</w:t>
            </w:r>
            <w:proofErr w:type="spellEnd"/>
            <w:r w:rsidRPr="00DD3AA0">
              <w:rPr>
                <w:rFonts w:ascii="Calibri" w:eastAsia="Times New Roman" w:hAnsi="Calibri" w:cs="Calibri"/>
                <w:color w:val="244062"/>
                <w:sz w:val="18"/>
                <w:szCs w:val="18"/>
                <w:lang w:eastAsia="es-CL"/>
              </w:rPr>
              <w:t xml:space="preserve">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570</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531</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1.049</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217</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2.509</w:t>
            </w:r>
          </w:p>
        </w:tc>
      </w:tr>
      <w:tr w:rsidR="00DD3AA0" w:rsidRPr="00DD3AA0" w:rsidTr="00DD3AA0">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39</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80</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23</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74</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74</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150</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56</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354</w:t>
            </w:r>
          </w:p>
        </w:tc>
      </w:tr>
      <w:tr w:rsidR="00DD3AA0" w:rsidRPr="00DD3AA0" w:rsidTr="00DD3AA0">
        <w:trPr>
          <w:trHeight w:val="300"/>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 xml:space="preserve">Del Bío </w:t>
            </w:r>
            <w:proofErr w:type="spellStart"/>
            <w:r w:rsidRPr="00DD3AA0">
              <w:rPr>
                <w:rFonts w:ascii="Calibri" w:eastAsia="Times New Roman" w:hAnsi="Calibri" w:cs="Calibri"/>
                <w:color w:val="244062"/>
                <w:sz w:val="18"/>
                <w:szCs w:val="18"/>
                <w:lang w:eastAsia="es-CL"/>
              </w:rPr>
              <w:t>Bío</w:t>
            </w:r>
            <w:proofErr w:type="spellEnd"/>
            <w:r w:rsidRPr="00DD3AA0">
              <w:rPr>
                <w:rFonts w:ascii="Calibri" w:eastAsia="Times New Roman" w:hAnsi="Calibri" w:cs="Calibri"/>
                <w:color w:val="244062"/>
                <w:sz w:val="18"/>
                <w:szCs w:val="18"/>
                <w:lang w:eastAsia="es-CL"/>
              </w:rPr>
              <w:t xml:space="preserve"> </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332</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298</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592</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225</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1.589</w:t>
            </w:r>
          </w:p>
        </w:tc>
      </w:tr>
      <w:tr w:rsidR="00DD3AA0" w:rsidRPr="00DD3AA0" w:rsidTr="00DD3AA0">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66</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41</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 xml:space="preserve">De La Araucanía </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143</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143</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285</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124</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696</w:t>
            </w: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166</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78</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417</w:t>
            </w:r>
          </w:p>
        </w:tc>
      </w:tr>
      <w:tr w:rsidR="00DD3AA0" w:rsidRPr="00DD3AA0" w:rsidTr="00DD3AA0">
        <w:trPr>
          <w:trHeight w:val="300"/>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84</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59</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118</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51</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406</w:t>
            </w:r>
          </w:p>
        </w:tc>
      </w:tr>
      <w:tr w:rsidR="00DD3AA0" w:rsidRPr="00DD3AA0" w:rsidTr="00DD3AA0">
        <w:trPr>
          <w:trHeight w:val="300"/>
        </w:trPr>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proofErr w:type="spellStart"/>
            <w:r w:rsidRPr="00DD3AA0">
              <w:rPr>
                <w:rFonts w:ascii="Calibri" w:eastAsia="Times New Roman" w:hAnsi="Calibri" w:cs="Calibri"/>
                <w:color w:val="244062"/>
                <w:sz w:val="18"/>
                <w:szCs w:val="18"/>
                <w:lang w:eastAsia="es-CL"/>
              </w:rPr>
              <w:t>Enjoy</w:t>
            </w:r>
            <w:proofErr w:type="spellEnd"/>
            <w:r w:rsidRPr="00DD3AA0">
              <w:rPr>
                <w:rFonts w:ascii="Calibri" w:eastAsia="Times New Roman" w:hAnsi="Calibri" w:cs="Calibri"/>
                <w:color w:val="244062"/>
                <w:sz w:val="18"/>
                <w:szCs w:val="18"/>
                <w:lang w:eastAsia="es-CL"/>
              </w:rPr>
              <w:t xml:space="preserve"> Chiloé</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25</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48</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22</w:t>
            </w:r>
          </w:p>
        </w:tc>
        <w:tc>
          <w:tcPr>
            <w:tcW w:w="0" w:type="auto"/>
            <w:vMerge/>
            <w:tcBorders>
              <w:top w:val="nil"/>
              <w:left w:val="single" w:sz="4" w:space="0" w:color="A6A6A6"/>
              <w:bottom w:val="single" w:sz="4" w:space="0" w:color="A6A6A6"/>
              <w:right w:val="single" w:sz="4" w:space="0" w:color="A6A6A6"/>
            </w:tcBorders>
            <w:vAlign w:val="center"/>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37</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71</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33</w:t>
            </w:r>
          </w:p>
        </w:tc>
        <w:tc>
          <w:tcPr>
            <w:tcW w:w="0" w:type="auto"/>
            <w:tcBorders>
              <w:top w:val="nil"/>
              <w:left w:val="nil"/>
              <w:bottom w:val="single" w:sz="4" w:space="0" w:color="A6A6A6"/>
              <w:right w:val="single" w:sz="4" w:space="0" w:color="A6A6A6"/>
            </w:tcBorders>
            <w:shd w:val="clear" w:color="auto" w:fill="auto"/>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178</w:t>
            </w:r>
          </w:p>
        </w:tc>
      </w:tr>
      <w:tr w:rsidR="00DD3AA0" w:rsidRPr="00DD3AA0" w:rsidTr="00DD3AA0">
        <w:trPr>
          <w:trHeight w:val="300"/>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lef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132</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263</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118</w:t>
            </w:r>
          </w:p>
        </w:tc>
        <w:tc>
          <w:tcPr>
            <w:tcW w:w="0" w:type="auto"/>
            <w:tcBorders>
              <w:top w:val="nil"/>
              <w:left w:val="nil"/>
              <w:bottom w:val="single" w:sz="4" w:space="0" w:color="A6A6A6"/>
              <w:right w:val="single" w:sz="4" w:space="0" w:color="A6A6A6"/>
            </w:tcBorders>
            <w:shd w:val="clear" w:color="000000" w:fill="DAEEF3"/>
            <w:noWrap/>
            <w:vAlign w:val="bottom"/>
            <w:hideMark/>
          </w:tcPr>
          <w:p w:rsidR="00DD3AA0" w:rsidRPr="00DD3AA0" w:rsidRDefault="00DD3AA0" w:rsidP="00DD3AA0">
            <w:pPr>
              <w:spacing w:after="0" w:line="240" w:lineRule="auto"/>
              <w:jc w:val="right"/>
              <w:rPr>
                <w:rFonts w:ascii="Calibri" w:eastAsia="Times New Roman" w:hAnsi="Calibri" w:cs="Calibri"/>
                <w:color w:val="244062"/>
                <w:sz w:val="18"/>
                <w:szCs w:val="18"/>
                <w:lang w:eastAsia="es-CL"/>
              </w:rPr>
            </w:pPr>
            <w:r w:rsidRPr="00DD3AA0">
              <w:rPr>
                <w:rFonts w:ascii="Calibri" w:eastAsia="Times New Roman" w:hAnsi="Calibri" w:cs="Calibri"/>
                <w:color w:val="244062"/>
                <w:sz w:val="18"/>
                <w:szCs w:val="18"/>
                <w:lang w:eastAsia="es-CL"/>
              </w:rPr>
              <w:t>644</w:t>
            </w:r>
          </w:p>
        </w:tc>
      </w:tr>
      <w:tr w:rsidR="00DD3AA0" w:rsidRPr="00DD3AA0" w:rsidTr="00DD3AA0">
        <w:trPr>
          <w:trHeight w:val="300"/>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rsidR="00DD3AA0" w:rsidRPr="00DD3AA0" w:rsidRDefault="00DD3AA0" w:rsidP="00DD3AA0">
            <w:pPr>
              <w:spacing w:after="0" w:line="240" w:lineRule="auto"/>
              <w:jc w:val="left"/>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Total</w:t>
            </w:r>
          </w:p>
        </w:tc>
        <w:tc>
          <w:tcPr>
            <w:tcW w:w="0" w:type="auto"/>
            <w:tcBorders>
              <w:top w:val="nil"/>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right"/>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2.182</w:t>
            </w:r>
          </w:p>
        </w:tc>
        <w:tc>
          <w:tcPr>
            <w:tcW w:w="0" w:type="auto"/>
            <w:tcBorders>
              <w:top w:val="nil"/>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right"/>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2.182</w:t>
            </w:r>
          </w:p>
        </w:tc>
        <w:tc>
          <w:tcPr>
            <w:tcW w:w="0" w:type="auto"/>
            <w:tcBorders>
              <w:top w:val="nil"/>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right"/>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4.296</w:t>
            </w:r>
          </w:p>
        </w:tc>
        <w:tc>
          <w:tcPr>
            <w:tcW w:w="0" w:type="auto"/>
            <w:tcBorders>
              <w:top w:val="nil"/>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right"/>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1.509</w:t>
            </w:r>
          </w:p>
        </w:tc>
        <w:tc>
          <w:tcPr>
            <w:tcW w:w="0" w:type="auto"/>
            <w:tcBorders>
              <w:top w:val="nil"/>
              <w:left w:val="nil"/>
              <w:bottom w:val="single" w:sz="4" w:space="0" w:color="A6A6A6"/>
              <w:right w:val="single" w:sz="4" w:space="0" w:color="A6A6A6"/>
            </w:tcBorders>
            <w:shd w:val="clear" w:color="000000" w:fill="1F497D"/>
            <w:vAlign w:val="center"/>
            <w:hideMark/>
          </w:tcPr>
          <w:p w:rsidR="00DD3AA0" w:rsidRPr="00DD3AA0" w:rsidRDefault="00DD3AA0" w:rsidP="00DD3AA0">
            <w:pPr>
              <w:spacing w:after="0" w:line="240" w:lineRule="auto"/>
              <w:jc w:val="right"/>
              <w:rPr>
                <w:rFonts w:ascii="Calibri" w:eastAsia="Times New Roman" w:hAnsi="Calibri" w:cs="Calibri"/>
                <w:b/>
                <w:bCs/>
                <w:color w:val="FFFFFF"/>
                <w:sz w:val="18"/>
                <w:szCs w:val="18"/>
                <w:lang w:eastAsia="es-CL"/>
              </w:rPr>
            </w:pPr>
            <w:r w:rsidRPr="00DD3AA0">
              <w:rPr>
                <w:rFonts w:ascii="Calibri" w:eastAsia="Times New Roman" w:hAnsi="Calibri" w:cs="Calibri"/>
                <w:b/>
                <w:bCs/>
                <w:color w:val="FFFFFF"/>
                <w:sz w:val="18"/>
                <w:szCs w:val="18"/>
                <w:lang w:eastAsia="es-CL"/>
              </w:rPr>
              <w:t>10.169</w:t>
            </w:r>
          </w:p>
        </w:tc>
      </w:tr>
    </w:tbl>
    <w:p w:rsidR="00067327" w:rsidRDefault="00067327"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8B6C22" w:rsidRDefault="008B6C22"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rsidR="006769E2" w:rsidRDefault="006769E2" w:rsidP="00330D14">
      <w:pPr>
        <w:tabs>
          <w:tab w:val="left" w:pos="0"/>
        </w:tabs>
        <w:spacing w:after="0" w:line="240" w:lineRule="auto"/>
      </w:pPr>
    </w:p>
    <w:p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3"/>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1E65B3">
        <w:t>diciembre</w:t>
      </w:r>
      <w:r w:rsidR="00AA4471">
        <w:t xml:space="preserve"> </w:t>
      </w:r>
      <w:r w:rsidR="003A0DBE">
        <w:t xml:space="preserve">de 2017 </w:t>
      </w:r>
      <w:r w:rsidR="00A729EA" w:rsidRPr="00FD382C">
        <w:t>ingresos bru</w:t>
      </w:r>
      <w:r w:rsidR="00AA4471">
        <w:t>tos del juego (</w:t>
      </w:r>
      <w:proofErr w:type="spellStart"/>
      <w:r w:rsidR="00AA4471">
        <w:t>win</w:t>
      </w:r>
      <w:proofErr w:type="spellEnd"/>
      <w:r w:rsidR="00AA4471">
        <w:t xml:space="preserve">) por $ </w:t>
      </w:r>
      <w:r w:rsidR="00CF3270">
        <w:t>3</w:t>
      </w:r>
      <w:r w:rsidR="00877A61">
        <w:t>8</w:t>
      </w:r>
      <w:r w:rsidR="00AA4471">
        <w:t>.</w:t>
      </w:r>
      <w:r w:rsidR="006D0D1F">
        <w:t>564</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AB6F7B">
        <w:t>2</w:t>
      </w:r>
      <w:r w:rsidR="00A32D29">
        <w:t>,</w:t>
      </w:r>
      <w:r w:rsidR="00AB6F7B">
        <w:t>1</w:t>
      </w:r>
      <w:r w:rsidR="006E4FFE" w:rsidRPr="005B279E">
        <w:t>%</w:t>
      </w:r>
      <w:r w:rsidR="00A1369B" w:rsidRPr="00ED60A3">
        <w:rPr>
          <w:i/>
          <w:vertAlign w:val="superscript"/>
        </w:rPr>
        <w:footnoteReference w:id="4"/>
      </w:r>
      <w:r w:rsidR="006E4FFE" w:rsidRPr="005B279E">
        <w:t xml:space="preserve"> </w:t>
      </w:r>
      <w:r w:rsidR="005B279E" w:rsidRPr="005B279E">
        <w:t xml:space="preserve">en comparación con el mismo mes del año anterior, mientras que el crecimiento real acumulado es de </w:t>
      </w:r>
      <w:r w:rsidR="001A472E">
        <w:t>-1</w:t>
      </w:r>
      <w:r w:rsidR="00877A61">
        <w:t>,</w:t>
      </w:r>
      <w:r w:rsidR="00AB6F7B">
        <w:t>5</w:t>
      </w:r>
      <w:r w:rsidR="006E4FFE" w:rsidRPr="005B279E">
        <w:t>%</w:t>
      </w:r>
      <w:r w:rsidR="00A1369B" w:rsidRPr="00ED60A3">
        <w:rPr>
          <w:i/>
          <w:vertAlign w:val="superscript"/>
        </w:rPr>
        <w:footnoteReference w:id="5"/>
      </w:r>
      <w:r w:rsidR="006E4FFE" w:rsidRPr="005B279E">
        <w:t xml:space="preserve"> en</w:t>
      </w:r>
      <w:r w:rsidR="005B279E" w:rsidRPr="005B279E">
        <w:t xml:space="preserve"> </w:t>
      </w:r>
      <w:r w:rsidR="00F41C39">
        <w:t>los últimos 12 meses</w:t>
      </w:r>
      <w:r w:rsidR="005B279E" w:rsidRPr="005B279E">
        <w:t>.</w:t>
      </w:r>
    </w:p>
    <w:p w:rsidR="00AA4471" w:rsidRDefault="00AA4471" w:rsidP="00083908">
      <w:pPr>
        <w:tabs>
          <w:tab w:val="left" w:pos="0"/>
        </w:tabs>
        <w:spacing w:after="0" w:line="240" w:lineRule="auto"/>
      </w:pPr>
    </w:p>
    <w:p w:rsidR="00070FBD" w:rsidRDefault="00070FBD" w:rsidP="00083908">
      <w:pPr>
        <w:tabs>
          <w:tab w:val="left" w:pos="0"/>
        </w:tabs>
        <w:spacing w:after="0" w:line="240" w:lineRule="auto"/>
      </w:pPr>
      <w:r>
        <w:t xml:space="preserve">Del total de $ </w:t>
      </w:r>
      <w:r w:rsidR="00CF3270">
        <w:t>3</w:t>
      </w:r>
      <w:r w:rsidR="00877A61">
        <w:t>8</w:t>
      </w:r>
      <w:r>
        <w:t>.</w:t>
      </w:r>
      <w:r w:rsidR="00AB6F7B">
        <w:t>564</w:t>
      </w:r>
      <w:r>
        <w:t xml:space="preserve"> millones de ingresos brutos del juego o </w:t>
      </w:r>
      <w:proofErr w:type="spellStart"/>
      <w:r>
        <w:t>win</w:t>
      </w:r>
      <w:proofErr w:type="spellEnd"/>
      <w:r>
        <w:t>,</w:t>
      </w:r>
      <w:r w:rsidR="00CF3270">
        <w:t xml:space="preserve"> </w:t>
      </w:r>
      <w:proofErr w:type="spellStart"/>
      <w:r w:rsidR="00584E2D">
        <w:t>Sun</w:t>
      </w:r>
      <w:proofErr w:type="spellEnd"/>
      <w:r w:rsidR="00584E2D">
        <w:t xml:space="preserve"> Monticello representó el 1</w:t>
      </w:r>
      <w:r w:rsidR="00993795">
        <w:t>7</w:t>
      </w:r>
      <w:r w:rsidR="00584E2D">
        <w:t>,</w:t>
      </w:r>
      <w:r w:rsidR="00AB6F7B">
        <w:t>0</w:t>
      </w:r>
      <w:r w:rsidR="00584E2D">
        <w:t xml:space="preserve">% ($ </w:t>
      </w:r>
      <w:r w:rsidR="00993795">
        <w:t>6.</w:t>
      </w:r>
      <w:r w:rsidR="00AB6F7B">
        <w:t>568</w:t>
      </w:r>
      <w:r w:rsidR="00584E2D">
        <w:t xml:space="preserve"> millones), </w:t>
      </w:r>
      <w:r w:rsidR="001A472E">
        <w:t>Casino de Viña del Mar 1</w:t>
      </w:r>
      <w:r w:rsidR="00AB6F7B">
        <w:t>1</w:t>
      </w:r>
      <w:r w:rsidR="001A472E">
        <w:t>,</w:t>
      </w:r>
      <w:r w:rsidR="00AB6F7B">
        <w:t>8</w:t>
      </w:r>
      <w:r w:rsidR="001A472E">
        <w:t xml:space="preserve">% ($ </w:t>
      </w:r>
      <w:r w:rsidR="00AB6F7B">
        <w:t>4</w:t>
      </w:r>
      <w:r w:rsidR="00993795">
        <w:t>.</w:t>
      </w:r>
      <w:r w:rsidR="00AB6F7B">
        <w:t>535</w:t>
      </w:r>
      <w:r w:rsidR="001A472E">
        <w:t xml:space="preserve"> millones),</w:t>
      </w:r>
      <w:r>
        <w:t xml:space="preserve"> </w:t>
      </w:r>
      <w:r w:rsidR="00993795">
        <w:t xml:space="preserve">Marina del Sol Talcahuano </w:t>
      </w:r>
      <w:r w:rsidR="00AB6F7B">
        <w:t>9</w:t>
      </w:r>
      <w:r w:rsidR="00993795">
        <w:t>,</w:t>
      </w:r>
      <w:r w:rsidR="00AB6F7B">
        <w:t>6</w:t>
      </w:r>
      <w:r w:rsidR="00993795">
        <w:t xml:space="preserve"> % ($ 3.</w:t>
      </w:r>
      <w:r w:rsidR="00AB6F7B">
        <w:t>705</w:t>
      </w:r>
      <w:r w:rsidR="00993795">
        <w:t xml:space="preserve"> millones), </w:t>
      </w:r>
      <w:r w:rsidR="00A32D29">
        <w:t xml:space="preserve">Casino Rinconada </w:t>
      </w:r>
      <w:r w:rsidR="00993795">
        <w:t>8</w:t>
      </w:r>
      <w:r w:rsidR="00A32D29">
        <w:t>,</w:t>
      </w:r>
      <w:r w:rsidR="00AB6F7B">
        <w:t>7</w:t>
      </w:r>
      <w:r w:rsidR="00A32D29">
        <w:t xml:space="preserve"> % ($ </w:t>
      </w:r>
      <w:r w:rsidR="00AB6F7B">
        <w:t>3.348</w:t>
      </w:r>
      <w:r w:rsidR="00A32D29">
        <w:t xml:space="preserve"> millones),</w:t>
      </w:r>
      <w:r w:rsidR="00A17581" w:rsidRPr="006E6197">
        <w:t xml:space="preserve"> </w:t>
      </w:r>
      <w:r w:rsidR="00A32D29">
        <w:t xml:space="preserve"> Coquimbo 6,</w:t>
      </w:r>
      <w:r w:rsidR="00AB6F7B">
        <w:t>6</w:t>
      </w:r>
      <w:r w:rsidR="00A32D29">
        <w:t xml:space="preserve">% ($ </w:t>
      </w:r>
      <w:r w:rsidR="00993795">
        <w:t>2.</w:t>
      </w:r>
      <w:r w:rsidR="00AB6F7B">
        <w:t>553</w:t>
      </w:r>
      <w:r w:rsidR="00A32D29">
        <w:t xml:space="preserve"> millones), </w:t>
      </w:r>
      <w:proofErr w:type="spellStart"/>
      <w:r w:rsidR="00A17581">
        <w:t>Enjoy</w:t>
      </w:r>
      <w:proofErr w:type="spellEnd"/>
      <w:r w:rsidR="00A17581">
        <w:t xml:space="preserve"> Antofagasta </w:t>
      </w:r>
      <w:r w:rsidR="00A32D29">
        <w:t>5</w:t>
      </w:r>
      <w:r w:rsidR="00A17581">
        <w:t>,</w:t>
      </w:r>
      <w:r w:rsidR="00AB6F7B">
        <w:t>4</w:t>
      </w:r>
      <w:r w:rsidR="00A17581">
        <w:t xml:space="preserve"> % ($</w:t>
      </w:r>
      <w:r w:rsidR="001A472E">
        <w:t xml:space="preserve"> </w:t>
      </w:r>
      <w:r w:rsidR="00AB6F7B">
        <w:t>2.091</w:t>
      </w:r>
      <w:r w:rsidR="00A17581">
        <w:t xml:space="preserve"> millones),</w:t>
      </w:r>
      <w:r w:rsidR="00584E2D">
        <w:t xml:space="preserve"> </w:t>
      </w:r>
      <w:r w:rsidR="00AB6F7B">
        <w:t xml:space="preserve">Dreams Temuco 4,6 % ($ 1.782  millones), </w:t>
      </w:r>
      <w:r w:rsidR="00993795">
        <w:t>Casino de Iquique 4,</w:t>
      </w:r>
      <w:r w:rsidR="00AB6F7B">
        <w:t>5</w:t>
      </w:r>
      <w:r w:rsidR="00993795">
        <w:t xml:space="preserve"> % ($ </w:t>
      </w:r>
      <w:r w:rsidR="00AB6F7B">
        <w:t>1.734</w:t>
      </w:r>
      <w:r w:rsidR="00993795">
        <w:t xml:space="preserve"> millones),</w:t>
      </w:r>
      <w:r w:rsidR="00584E2D">
        <w:t xml:space="preserve"> </w:t>
      </w:r>
      <w:r w:rsidR="00A17581">
        <w:t xml:space="preserve"> </w:t>
      </w:r>
      <w:r w:rsidR="003F35F6">
        <w:t xml:space="preserve">Dreams Punta Arenas </w:t>
      </w:r>
      <w:r w:rsidR="00AB6F7B">
        <w:t>4,3</w:t>
      </w:r>
      <w:r w:rsidR="003F35F6">
        <w:t xml:space="preserve">% ($ </w:t>
      </w:r>
      <w:r w:rsidR="00993795">
        <w:t>1.</w:t>
      </w:r>
      <w:r w:rsidR="00AB6F7B">
        <w:t>648</w:t>
      </w:r>
      <w:r w:rsidR="003F35F6">
        <w:t xml:space="preserve"> millones), </w:t>
      </w:r>
      <w:r w:rsidR="00A148ED">
        <w:t>Casino Puerto Varas 3,</w:t>
      </w:r>
      <w:r w:rsidR="00877A61">
        <w:t>3</w:t>
      </w:r>
      <w:r w:rsidR="00A148ED">
        <w:t xml:space="preserve"> % ($ </w:t>
      </w:r>
      <w:r w:rsidR="00993795">
        <w:t>1.2</w:t>
      </w:r>
      <w:r w:rsidR="00AB6F7B">
        <w:t>91</w:t>
      </w:r>
      <w:r w:rsidR="00A148ED">
        <w:t xml:space="preserve"> millones),</w:t>
      </w:r>
      <w:r w:rsidR="00993795">
        <w:t xml:space="preserve"> Dreams Valdivia 2,7 % ($ 1.0</w:t>
      </w:r>
      <w:r w:rsidR="00AB6F7B">
        <w:t>40</w:t>
      </w:r>
      <w:r w:rsidR="00993795">
        <w:t xml:space="preserve"> millones),</w:t>
      </w:r>
      <w:r w:rsidR="00AB6F7B">
        <w:t xml:space="preserve"> </w:t>
      </w:r>
      <w:proofErr w:type="spellStart"/>
      <w:r w:rsidR="00AB6F7B">
        <w:t>Antay</w:t>
      </w:r>
      <w:proofErr w:type="spellEnd"/>
      <w:r w:rsidR="00AB6F7B">
        <w:t xml:space="preserve"> Casino &amp; Hotel 2,7% ($ 1.034 millones),  Marina del Sol Calama 2,6% ($ 1.001 millones), </w:t>
      </w:r>
      <w:r w:rsidR="00584E2D">
        <w:t xml:space="preserve"> </w:t>
      </w:r>
      <w:r w:rsidR="00993795">
        <w:t>Gran Casino de Talca 2,</w:t>
      </w:r>
      <w:r w:rsidR="00AB6F7B">
        <w:t>4</w:t>
      </w:r>
      <w:r w:rsidR="00993795">
        <w:t xml:space="preserve"> % ($ </w:t>
      </w:r>
      <w:r w:rsidR="001E65B3">
        <w:t>937</w:t>
      </w:r>
      <w:r w:rsidR="00993795">
        <w:t xml:space="preserve"> millones), </w:t>
      </w:r>
      <w:r w:rsidR="00877A61">
        <w:t>Casino de Pucón 2,</w:t>
      </w:r>
      <w:r w:rsidR="00AB6F7B">
        <w:t>4</w:t>
      </w:r>
      <w:r w:rsidR="00877A61">
        <w:t xml:space="preserve"> % ($ </w:t>
      </w:r>
      <w:r w:rsidR="00AB6F7B">
        <w:t>908</w:t>
      </w:r>
      <w:r w:rsidR="00877A61">
        <w:t xml:space="preserve"> millones), </w:t>
      </w:r>
      <w:r w:rsidR="00584E2D">
        <w:t xml:space="preserve">Marina del Sol Osorno </w:t>
      </w:r>
      <w:r w:rsidR="00AB6F7B">
        <w:t>1</w:t>
      </w:r>
      <w:r w:rsidR="00584E2D">
        <w:t>,</w:t>
      </w:r>
      <w:r w:rsidR="00AB6F7B">
        <w:t>9</w:t>
      </w:r>
      <w:r w:rsidR="00584E2D">
        <w:t xml:space="preserve"> % ($ </w:t>
      </w:r>
      <w:r w:rsidR="00AB6F7B">
        <w:t>737</w:t>
      </w:r>
      <w:r w:rsidR="00584E2D">
        <w:t xml:space="preserve">  millones), </w:t>
      </w:r>
      <w:r w:rsidR="00E6618E">
        <w:t xml:space="preserve">Casino de Juegos del Pacífico </w:t>
      </w:r>
      <w:r w:rsidR="00584E2D">
        <w:t>1</w:t>
      </w:r>
      <w:r w:rsidR="00E6618E">
        <w:t>,</w:t>
      </w:r>
      <w:r w:rsidR="00993795">
        <w:t>8</w:t>
      </w:r>
      <w:r w:rsidR="00E6618E">
        <w:t xml:space="preserve"> % ($ </w:t>
      </w:r>
      <w:r w:rsidR="00AB6F7B">
        <w:t>701</w:t>
      </w:r>
      <w:r w:rsidR="00E6618E">
        <w:t xml:space="preserve"> millones), </w:t>
      </w:r>
      <w:r w:rsidR="00993795">
        <w:t xml:space="preserve">Casino de Colchagua 1,3 % ($ 500 millones), </w:t>
      </w:r>
      <w:r w:rsidR="00AB6F7B">
        <w:t xml:space="preserve">Casino de Arica 1,2 % ($ 467 millones), Dreams Coyhaique 1,2 % ($ 445 millones), </w:t>
      </w:r>
      <w:r w:rsidR="00993795">
        <w:t>Casino Gran Los Ángeles 1,</w:t>
      </w:r>
      <w:r w:rsidR="00AB6F7B">
        <w:t>1</w:t>
      </w:r>
      <w:r w:rsidR="00993795">
        <w:t xml:space="preserve"> % ($ 4</w:t>
      </w:r>
      <w:r w:rsidR="00AB6F7B">
        <w:t>14</w:t>
      </w:r>
      <w:r w:rsidR="00993795">
        <w:t xml:space="preserve"> millones), </w:t>
      </w:r>
      <w:r w:rsidR="00AB6F7B">
        <w:t xml:space="preserve">Casino </w:t>
      </w:r>
      <w:proofErr w:type="spellStart"/>
      <w:r w:rsidR="00AB6F7B">
        <w:t>Luckia</w:t>
      </w:r>
      <w:proofErr w:type="spellEnd"/>
      <w:r w:rsidR="00AB6F7B">
        <w:t xml:space="preserve"> Arica 0,9% ($ 336 millones), Ovalle Casino Resort S.A. 0,8 % ( $</w:t>
      </w:r>
      <w:r w:rsidR="006C0908">
        <w:t xml:space="preserve"> </w:t>
      </w:r>
      <w:r w:rsidR="00AB6F7B">
        <w:t xml:space="preserve">321 millones), </w:t>
      </w:r>
      <w:proofErr w:type="spellStart"/>
      <w:r w:rsidR="00584E2D">
        <w:t>Enjoy</w:t>
      </w:r>
      <w:proofErr w:type="spellEnd"/>
      <w:r w:rsidR="00584E2D">
        <w:t xml:space="preserve"> Chiloé 0,</w:t>
      </w:r>
      <w:r w:rsidR="00AB6F7B">
        <w:t>8%</w:t>
      </w:r>
      <w:r w:rsidR="00584E2D">
        <w:t xml:space="preserve"> ($ </w:t>
      </w:r>
      <w:r w:rsidR="00993795">
        <w:t>3</w:t>
      </w:r>
      <w:r w:rsidR="00AB6F7B">
        <w:t>00</w:t>
      </w:r>
      <w:r w:rsidR="00584E2D">
        <w:t xml:space="preserve"> millones), </w:t>
      </w:r>
      <w:r w:rsidR="009E3CDD">
        <w:t>Casino de Natales</w:t>
      </w:r>
      <w:r w:rsidR="00F033B3">
        <w:t xml:space="preserve"> 0,4 % ($</w:t>
      </w:r>
      <w:r w:rsidR="008B6C22">
        <w:t xml:space="preserve"> </w:t>
      </w:r>
      <w:r w:rsidR="00F033B3">
        <w:t>1</w:t>
      </w:r>
      <w:r w:rsidR="00AB6F7B">
        <w:t>73</w:t>
      </w:r>
      <w:r w:rsidR="00F033B3">
        <w:t xml:space="preserve"> millones)</w:t>
      </w:r>
      <w:r w:rsidR="00AB6F7B">
        <w:t>.</w:t>
      </w:r>
    </w:p>
    <w:p w:rsidR="00A73100" w:rsidRDefault="00A73100" w:rsidP="00083908">
      <w:pPr>
        <w:tabs>
          <w:tab w:val="left" w:pos="0"/>
        </w:tabs>
        <w:spacing w:after="0" w:line="240" w:lineRule="auto"/>
      </w:pPr>
    </w:p>
    <w:p w:rsidR="00083908" w:rsidRDefault="00083908" w:rsidP="00083908">
      <w:pPr>
        <w:tabs>
          <w:tab w:val="left" w:pos="0"/>
        </w:tabs>
        <w:spacing w:after="0" w:line="240" w:lineRule="auto"/>
      </w:pPr>
    </w:p>
    <w:p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rsidR="0017349B" w:rsidRDefault="0017349B" w:rsidP="00083908">
      <w:pPr>
        <w:tabs>
          <w:tab w:val="left" w:pos="0"/>
        </w:tabs>
        <w:spacing w:after="0" w:line="240" w:lineRule="auto"/>
      </w:pPr>
    </w:p>
    <w:p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4C761E">
        <w:t>6</w:t>
      </w:r>
      <w:r w:rsidR="00AA4471">
        <w:t>.</w:t>
      </w:r>
      <w:r w:rsidR="00AB6F7B">
        <w:t>904</w:t>
      </w:r>
      <w:r w:rsidR="00AA4471" w:rsidRPr="00FD382C">
        <w:t xml:space="preserve"> millones,</w:t>
      </w:r>
      <w:r w:rsidR="00070FBD">
        <w:t xml:space="preserve"> lo que representa un </w:t>
      </w:r>
      <w:r w:rsidR="004C761E">
        <w:t>6</w:t>
      </w:r>
      <w:r w:rsidR="00AB6F7B">
        <w:t>9</w:t>
      </w:r>
      <w:r w:rsidR="00070FBD">
        <w:t>,</w:t>
      </w:r>
      <w:r w:rsidR="00A51CDD">
        <w:t>8</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6"/>
      </w:r>
      <w:r w:rsidR="00AA4471" w:rsidRPr="00C8471D">
        <w:rPr>
          <w:sz w:val="28"/>
          <w:szCs w:val="28"/>
        </w:rPr>
        <w:t xml:space="preserve"> </w:t>
      </w:r>
      <w:r w:rsidR="00AA4471">
        <w:t xml:space="preserve">de </w:t>
      </w:r>
      <w:r w:rsidR="00A51CDD">
        <w:t>4</w:t>
      </w:r>
      <w:r w:rsidR="00AA4471">
        <w:t>,</w:t>
      </w:r>
      <w:r w:rsidR="00AB6F7B">
        <w:t>7</w:t>
      </w:r>
      <w:r w:rsidR="00AA4471">
        <w:t>%</w:t>
      </w:r>
      <w:r w:rsidR="00AA4471" w:rsidRPr="00C8471D">
        <w:rPr>
          <w:rStyle w:val="Refdenotaalpie"/>
          <w:sz w:val="28"/>
          <w:szCs w:val="28"/>
        </w:rPr>
        <w:footnoteReference w:id="7"/>
      </w:r>
      <w:r w:rsidR="00AA4471">
        <w:t xml:space="preserve">, en comparación con </w:t>
      </w:r>
      <w:r w:rsidR="00AB6F7B">
        <w:t>diciembre</w:t>
      </w:r>
      <w:r w:rsidR="00AA4471">
        <w:t xml:space="preserve"> de 201</w:t>
      </w:r>
      <w:r w:rsidR="00A51CDD">
        <w:t>6</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8"/>
      </w:r>
      <w:r w:rsidR="00AA4471">
        <w:t xml:space="preserve">de </w:t>
      </w:r>
      <w:r w:rsidR="00E6618E">
        <w:t>-</w:t>
      </w:r>
      <w:r w:rsidR="00AB6F7B">
        <w:t>0</w:t>
      </w:r>
      <w:r w:rsidR="00AA4471">
        <w:t>,</w:t>
      </w:r>
      <w:r w:rsidR="00AB6F7B">
        <w:t>9</w:t>
      </w:r>
      <w:r w:rsidR="00AA4471" w:rsidRPr="00FD382C">
        <w:t xml:space="preserve">%, en </w:t>
      </w:r>
      <w:r w:rsidR="003E14B0" w:rsidRPr="00FD382C">
        <w:t>los últimos</w:t>
      </w:r>
      <w:r w:rsidR="00AA4471" w:rsidRPr="00FD382C">
        <w:t xml:space="preserve"> doce meses. </w:t>
      </w:r>
    </w:p>
    <w:p w:rsidR="00ED60A3" w:rsidRDefault="00ED60A3" w:rsidP="00083908">
      <w:pPr>
        <w:tabs>
          <w:tab w:val="left" w:pos="0"/>
        </w:tabs>
        <w:spacing w:after="0" w:line="240" w:lineRule="auto"/>
      </w:pPr>
    </w:p>
    <w:p w:rsidR="00265A30" w:rsidRDefault="00265A30" w:rsidP="00083908">
      <w:pPr>
        <w:tabs>
          <w:tab w:val="left" w:pos="0"/>
        </w:tabs>
        <w:spacing w:after="0" w:line="240" w:lineRule="auto"/>
      </w:pPr>
      <w:r>
        <w:t xml:space="preserve">En los mismos términos, las </w:t>
      </w:r>
      <w:r w:rsidR="009070A6">
        <w:t>4</w:t>
      </w:r>
      <w:r w:rsidR="00AB6F7B">
        <w:t>58</w:t>
      </w:r>
      <w:r>
        <w:t>.</w:t>
      </w:r>
      <w:r w:rsidR="00AB6F7B">
        <w:t>845</w:t>
      </w:r>
      <w:r>
        <w:t xml:space="preserve"> visitas registradas equivalen a una variación de </w:t>
      </w:r>
      <w:r w:rsidR="00A51CDD">
        <w:t>-</w:t>
      </w:r>
      <w:r w:rsidR="00AB6F7B">
        <w:t>2</w:t>
      </w:r>
      <w:r w:rsidR="00A51CDD">
        <w:t>,</w:t>
      </w:r>
      <w:r w:rsidR="00AB6F7B">
        <w:t>6</w:t>
      </w:r>
      <w:r w:rsidR="003C4894">
        <w:t xml:space="preserve">% </w:t>
      </w:r>
      <w:r>
        <w:t xml:space="preserve">en comparación con </w:t>
      </w:r>
      <w:r w:rsidR="00AB6F7B">
        <w:t>diciembre</w:t>
      </w:r>
      <w:r>
        <w:t xml:space="preserve"> de 201</w:t>
      </w:r>
      <w:r w:rsidR="003E14B0">
        <w:t>6</w:t>
      </w:r>
      <w:r w:rsidR="000D6BF6">
        <w:t xml:space="preserve"> y a un </w:t>
      </w:r>
      <w:r>
        <w:t xml:space="preserve">crecimiento </w:t>
      </w:r>
      <w:r w:rsidR="003E7430">
        <w:t xml:space="preserve">acumulado </w:t>
      </w:r>
      <w:r>
        <w:t>de</w:t>
      </w:r>
      <w:r w:rsidR="00E6618E">
        <w:t>l</w:t>
      </w:r>
      <w:r>
        <w:t xml:space="preserve"> </w:t>
      </w:r>
      <w:r w:rsidR="00E6618E">
        <w:t>-</w:t>
      </w:r>
      <w:r w:rsidR="0090460C">
        <w:t>2</w:t>
      </w:r>
      <w:r>
        <w:t>,</w:t>
      </w:r>
      <w:r w:rsidR="0090460C">
        <w:t>4</w:t>
      </w:r>
      <w:r>
        <w:t>% en los últimos 12 meses.</w:t>
      </w:r>
    </w:p>
    <w:p w:rsidR="00265A30" w:rsidRDefault="00265A30" w:rsidP="00083908">
      <w:pPr>
        <w:tabs>
          <w:tab w:val="left" w:pos="0"/>
        </w:tabs>
        <w:spacing w:after="0" w:line="240" w:lineRule="auto"/>
      </w:pPr>
    </w:p>
    <w:p w:rsidR="00265A30" w:rsidRDefault="00265A30" w:rsidP="00083908">
      <w:pPr>
        <w:tabs>
          <w:tab w:val="left" w:pos="0"/>
        </w:tabs>
        <w:spacing w:after="0" w:line="240" w:lineRule="auto"/>
      </w:pPr>
      <w:r>
        <w:t xml:space="preserve">Respecto del gasto de los visitantes, durante el mes de </w:t>
      </w:r>
      <w:r w:rsidR="001E65B3">
        <w:t>diciembre</w:t>
      </w:r>
      <w:r>
        <w:t xml:space="preserve"> se registró un gasto promedio </w:t>
      </w:r>
      <w:r w:rsidR="00A51CDD">
        <w:t>de $</w:t>
      </w:r>
      <w:r>
        <w:t xml:space="preserve"> </w:t>
      </w:r>
      <w:r w:rsidR="004C761E">
        <w:t>5</w:t>
      </w:r>
      <w:r w:rsidR="0090460C">
        <w:t>8</w:t>
      </w:r>
      <w:r w:rsidR="00BD5041">
        <w:t>.</w:t>
      </w:r>
      <w:r w:rsidR="0090460C">
        <w:t>635</w:t>
      </w:r>
      <w:r>
        <w:t xml:space="preserve"> por visita, lo que </w:t>
      </w:r>
      <w:r w:rsidR="000D6BF6">
        <w:t xml:space="preserve">implica </w:t>
      </w:r>
      <w:r>
        <w:t xml:space="preserve">una variación </w:t>
      </w:r>
      <w:r w:rsidR="004E6E42">
        <w:t xml:space="preserve">real </w:t>
      </w:r>
      <w:r>
        <w:t xml:space="preserve">de </w:t>
      </w:r>
      <w:r w:rsidR="0090460C">
        <w:t>7</w:t>
      </w:r>
      <w:r w:rsidR="00E43884">
        <w:t>,</w:t>
      </w:r>
      <w:r w:rsidR="0090460C">
        <w:t>5</w:t>
      </w:r>
      <w:r>
        <w:t xml:space="preserve">% respecto de </w:t>
      </w:r>
      <w:r w:rsidR="0090460C">
        <w:t>diciembre</w:t>
      </w:r>
      <w:r>
        <w:t xml:space="preserve"> 201</w:t>
      </w:r>
      <w:r w:rsidR="00E43884">
        <w:t>6</w:t>
      </w:r>
      <w:r>
        <w:t xml:space="preserve">, alcanzando un crecimiento acumulado real del gasto de </w:t>
      </w:r>
      <w:r w:rsidR="0090460C">
        <w:t>1</w:t>
      </w:r>
      <w:r w:rsidR="00895DCC">
        <w:t>,</w:t>
      </w:r>
      <w:r w:rsidR="0090460C">
        <w:t>5</w:t>
      </w:r>
      <w:r>
        <w:t>% en los últimos 12 meses.</w:t>
      </w:r>
    </w:p>
    <w:p w:rsidR="00ED60A3" w:rsidRDefault="00ED60A3" w:rsidP="00083908">
      <w:pPr>
        <w:tabs>
          <w:tab w:val="left" w:pos="0"/>
        </w:tabs>
        <w:spacing w:after="0" w:line="240" w:lineRule="auto"/>
      </w:pPr>
    </w:p>
    <w:p w:rsidR="00070FBD" w:rsidRDefault="00070FBD" w:rsidP="00083908">
      <w:pPr>
        <w:tabs>
          <w:tab w:val="left" w:pos="0"/>
        </w:tabs>
        <w:spacing w:after="0" w:line="240" w:lineRule="auto"/>
      </w:pPr>
      <w:r>
        <w:t>El monto jugado</w:t>
      </w:r>
      <w:r>
        <w:rPr>
          <w:rStyle w:val="Refdenotaalpie"/>
        </w:rPr>
        <w:footnoteReference w:id="9"/>
      </w:r>
      <w:r>
        <w:t xml:space="preserve"> en el mes de </w:t>
      </w:r>
      <w:r w:rsidR="001E65B3">
        <w:t>diciembre</w:t>
      </w:r>
      <w:r>
        <w:t xml:space="preserve">, en las </w:t>
      </w:r>
      <w:r w:rsidR="004C761E">
        <w:t>10</w:t>
      </w:r>
      <w:r>
        <w:t>.</w:t>
      </w:r>
      <w:r w:rsidR="0090460C">
        <w:t>372</w:t>
      </w:r>
      <w:r>
        <w:t xml:space="preserve"> máquinas de azar</w:t>
      </w:r>
      <w:r w:rsidR="00F849F9">
        <w:rPr>
          <w:rStyle w:val="Refdenotaalpie"/>
        </w:rPr>
        <w:footnoteReference w:id="10"/>
      </w:r>
      <w:r>
        <w:t xml:space="preserve"> que estuvieron en funcionamiento en los 1</w:t>
      </w:r>
      <w:r w:rsidR="004C761E">
        <w:t>8</w:t>
      </w:r>
      <w:r>
        <w:t xml:space="preserve"> casinos regulados ascendió a $ </w:t>
      </w:r>
      <w:r w:rsidR="00A51CDD">
        <w:t>3</w:t>
      </w:r>
      <w:r w:rsidR="0090460C">
        <w:t>64</w:t>
      </w:r>
      <w:r w:rsidR="00BD5041">
        <w:t>.</w:t>
      </w:r>
      <w:r w:rsidR="0090460C">
        <w:t>329</w:t>
      </w:r>
      <w:r>
        <w:t xml:space="preserve"> millones. Los premios pagados a los jugadores alcanzaron los $ </w:t>
      </w:r>
      <w:r w:rsidR="00A51CDD">
        <w:t>3</w:t>
      </w:r>
      <w:r w:rsidR="0090460C">
        <w:t>42</w:t>
      </w:r>
      <w:r w:rsidR="00A51CDD">
        <w:t>.</w:t>
      </w:r>
      <w:r w:rsidR="0090460C">
        <w:t>041</w:t>
      </w:r>
      <w:r>
        <w:t xml:space="preserve"> millones, equivalentes al 9</w:t>
      </w:r>
      <w:r w:rsidR="0090460C">
        <w:t>3</w:t>
      </w:r>
      <w:r>
        <w:t>,</w:t>
      </w:r>
      <w:r w:rsidR="0090460C">
        <w:t>9</w:t>
      </w:r>
      <w:r>
        <w:t>% del total apostado</w:t>
      </w:r>
      <w:r w:rsidR="000D6BF6">
        <w:t xml:space="preserve"> y c</w:t>
      </w:r>
      <w:r>
        <w:t>omo</w:t>
      </w:r>
      <w:r w:rsidR="005B279E">
        <w:t xml:space="preserve"> resultado, el ingreso bruto o w</w:t>
      </w:r>
      <w:r>
        <w:t>in correspondiente al juego en máquinas de azar fue de $</w:t>
      </w:r>
      <w:r w:rsidR="006C0908">
        <w:t xml:space="preserve"> </w:t>
      </w:r>
      <w:r w:rsidR="00A14A88">
        <w:t>2</w:t>
      </w:r>
      <w:r w:rsidR="0090460C">
        <w:t>2</w:t>
      </w:r>
      <w:r>
        <w:t>.</w:t>
      </w:r>
      <w:r w:rsidR="0090460C">
        <w:t>288</w:t>
      </w:r>
      <w:r>
        <w:t xml:space="preserve"> millones</w:t>
      </w:r>
      <w:r w:rsidR="000D6BF6">
        <w:t>,</w:t>
      </w:r>
      <w:r>
        <w:t xml:space="preserve"> que equivale al </w:t>
      </w:r>
      <w:r w:rsidR="00E6618E">
        <w:t>8</w:t>
      </w:r>
      <w:r w:rsidR="00A51CDD">
        <w:t>2</w:t>
      </w:r>
      <w:r>
        <w:t>,</w:t>
      </w:r>
      <w:r w:rsidR="0090460C">
        <w:t>8</w:t>
      </w:r>
      <w:r>
        <w:t xml:space="preserve"> % del ingreso bruto total.</w:t>
      </w:r>
    </w:p>
    <w:p w:rsidR="00070FBD" w:rsidRDefault="00070FBD" w:rsidP="00083908">
      <w:pPr>
        <w:tabs>
          <w:tab w:val="left" w:pos="0"/>
        </w:tabs>
        <w:spacing w:after="0" w:line="240" w:lineRule="auto"/>
        <w:rPr>
          <w:b/>
        </w:rPr>
      </w:pPr>
    </w:p>
    <w:p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rsidR="00E57CA1" w:rsidRPr="00265A30" w:rsidRDefault="00E57CA1" w:rsidP="00083908">
      <w:pPr>
        <w:tabs>
          <w:tab w:val="left" w:pos="0"/>
        </w:tabs>
        <w:spacing w:after="0" w:line="240" w:lineRule="auto"/>
        <w:rPr>
          <w:b/>
        </w:rPr>
      </w:pPr>
    </w:p>
    <w:p w:rsidR="00265A30" w:rsidRDefault="00070FBD" w:rsidP="00083908">
      <w:pPr>
        <w:spacing w:after="0" w:line="240" w:lineRule="auto"/>
      </w:pPr>
      <w:r>
        <w:t xml:space="preserve">Por su parte, </w:t>
      </w:r>
      <w:r w:rsidR="00265A30" w:rsidRPr="00265A30">
        <w:t>los casinos municipales obtuvieron un total de $ 1</w:t>
      </w:r>
      <w:r w:rsidR="008D6A5B">
        <w:t>1</w:t>
      </w:r>
      <w:r w:rsidR="00265A30" w:rsidRPr="00265A30">
        <w:t>.</w:t>
      </w:r>
      <w:r w:rsidR="0090460C">
        <w:t>660</w:t>
      </w:r>
      <w:r w:rsidR="00265A30" w:rsidRPr="00265A30">
        <w:t xml:space="preserve"> millones de ingresos brutos del juego o win, </w:t>
      </w:r>
      <w:r>
        <w:t xml:space="preserve">lo que representa un total de </w:t>
      </w:r>
      <w:r w:rsidR="004C761E">
        <w:t>3</w:t>
      </w:r>
      <w:r w:rsidR="0090460C">
        <w:t>0</w:t>
      </w:r>
      <w:r>
        <w:t>,</w:t>
      </w:r>
      <w:r w:rsidR="00A51CDD">
        <w:t>2</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400831">
        <w:t>1</w:t>
      </w:r>
      <w:r w:rsidR="00265A30" w:rsidRPr="00265A30">
        <w:rPr>
          <w:bCs/>
        </w:rPr>
        <w:t>,</w:t>
      </w:r>
      <w:r w:rsidR="0090460C">
        <w:rPr>
          <w:bCs/>
        </w:rPr>
        <w:t>7</w:t>
      </w:r>
      <w:r w:rsidR="00265A30" w:rsidRPr="00265A30">
        <w:rPr>
          <w:bCs/>
        </w:rPr>
        <w:t>%</w:t>
      </w:r>
      <w:r w:rsidR="00265A30" w:rsidRPr="00265A30">
        <w:t xml:space="preserve"> en comparación con </w:t>
      </w:r>
      <w:r w:rsidR="001E65B3">
        <w:t>diciembre</w:t>
      </w:r>
      <w:r w:rsidR="00EA3A51">
        <w:t xml:space="preserve"> </w:t>
      </w:r>
      <w:r w:rsidR="005B3F73" w:rsidRPr="00265A30">
        <w:t>de</w:t>
      </w:r>
      <w:r w:rsidR="00265A30" w:rsidRPr="00265A30">
        <w:t xml:space="preserve"> 201</w:t>
      </w:r>
      <w:r w:rsidR="00E43884">
        <w:t>6</w:t>
      </w:r>
      <w:r w:rsidR="00265A30" w:rsidRPr="00265A30">
        <w:t xml:space="preserve"> y un crecimiento real acumulado de </w:t>
      </w:r>
      <w:r w:rsidR="00E43884">
        <w:t>-</w:t>
      </w:r>
      <w:r w:rsidR="00A14A88">
        <w:t>2</w:t>
      </w:r>
      <w:r w:rsidR="00265A30" w:rsidRPr="00265A30">
        <w:rPr>
          <w:bCs/>
        </w:rPr>
        <w:t>,</w:t>
      </w:r>
      <w:r w:rsidR="001E65B3">
        <w:rPr>
          <w:bCs/>
        </w:rPr>
        <w:t>1</w:t>
      </w:r>
      <w:r w:rsidR="00265A30" w:rsidRPr="00265A30">
        <w:rPr>
          <w:bCs/>
        </w:rPr>
        <w:t>%</w:t>
      </w:r>
      <w:r w:rsidR="00265A30" w:rsidRPr="00265A30">
        <w:t xml:space="preserve"> en </w:t>
      </w:r>
      <w:r w:rsidR="00E810F9">
        <w:t>los últimos 12 meses.</w:t>
      </w:r>
    </w:p>
    <w:p w:rsidR="00E57CA1" w:rsidRPr="00265A30" w:rsidRDefault="00E57CA1" w:rsidP="00083908">
      <w:pPr>
        <w:spacing w:after="0" w:line="240" w:lineRule="auto"/>
      </w:pPr>
    </w:p>
    <w:p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8062BF">
        <w:t>2</w:t>
      </w:r>
      <w:r w:rsidR="0090460C">
        <w:t>3</w:t>
      </w:r>
      <w:r w:rsidR="00A51CDD">
        <w:t>1</w:t>
      </w:r>
      <w:r w:rsidR="008062BF">
        <w:t>.</w:t>
      </w:r>
      <w:r w:rsidR="0090460C">
        <w:t>133</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rsidR="00E57CA1" w:rsidRDefault="00E57CA1" w:rsidP="00083908">
      <w:pPr>
        <w:tabs>
          <w:tab w:val="left" w:pos="0"/>
        </w:tabs>
        <w:spacing w:after="0" w:line="240" w:lineRule="auto"/>
        <w:rPr>
          <w:b/>
        </w:rPr>
      </w:pPr>
    </w:p>
    <w:p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rsidR="00FB3D8B" w:rsidRDefault="00FB3D8B" w:rsidP="00083908">
      <w:pPr>
        <w:tabs>
          <w:tab w:val="left" w:pos="0"/>
        </w:tabs>
        <w:spacing w:after="0" w:line="240" w:lineRule="auto"/>
      </w:pPr>
    </w:p>
    <w:p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rsidR="00083908" w:rsidRDefault="00083908" w:rsidP="00083908">
      <w:pPr>
        <w:tabs>
          <w:tab w:val="left" w:pos="0"/>
        </w:tabs>
        <w:spacing w:after="0" w:line="240" w:lineRule="auto"/>
        <w:jc w:val="left"/>
      </w:pPr>
    </w:p>
    <w:p w:rsidR="00330D14" w:rsidRDefault="00330D14" w:rsidP="00196290">
      <w:pPr>
        <w:tabs>
          <w:tab w:val="left" w:pos="0"/>
        </w:tabs>
        <w:jc w:val="center"/>
        <w:rPr>
          <w:rFonts w:ascii="Calibri" w:hAnsi="Calibri" w:cs="Calibri"/>
          <w:b/>
          <w:sz w:val="21"/>
          <w:szCs w:val="21"/>
        </w:rPr>
      </w:pPr>
    </w:p>
    <w:p w:rsidR="0090460C" w:rsidRDefault="0090460C" w:rsidP="00196290">
      <w:pPr>
        <w:tabs>
          <w:tab w:val="left" w:pos="0"/>
        </w:tabs>
        <w:jc w:val="center"/>
        <w:rPr>
          <w:rFonts w:ascii="Calibri" w:hAnsi="Calibri" w:cs="Calibri"/>
          <w:b/>
          <w:sz w:val="21"/>
          <w:szCs w:val="21"/>
        </w:rPr>
      </w:pPr>
    </w:p>
    <w:p w:rsidR="0090460C" w:rsidRDefault="0090460C" w:rsidP="00196290">
      <w:pPr>
        <w:tabs>
          <w:tab w:val="left" w:pos="0"/>
        </w:tabs>
        <w:jc w:val="center"/>
        <w:rPr>
          <w:rFonts w:ascii="Calibri" w:hAnsi="Calibri" w:cs="Calibri"/>
          <w:b/>
          <w:sz w:val="21"/>
          <w:szCs w:val="21"/>
        </w:rPr>
      </w:pPr>
    </w:p>
    <w:p w:rsidR="00330D14" w:rsidRDefault="00330D14" w:rsidP="00196290">
      <w:pPr>
        <w:tabs>
          <w:tab w:val="left" w:pos="0"/>
        </w:tabs>
        <w:jc w:val="center"/>
        <w:rPr>
          <w:rFonts w:ascii="Calibri" w:hAnsi="Calibri" w:cs="Calibri"/>
          <w:b/>
          <w:sz w:val="21"/>
          <w:szCs w:val="21"/>
        </w:rPr>
      </w:pPr>
    </w:p>
    <w:p w:rsidR="00A51CDD" w:rsidRDefault="00A51CDD" w:rsidP="00196290">
      <w:pPr>
        <w:tabs>
          <w:tab w:val="left" w:pos="0"/>
        </w:tabs>
        <w:jc w:val="center"/>
        <w:rPr>
          <w:rFonts w:ascii="Calibri" w:hAnsi="Calibri" w:cs="Calibri"/>
          <w:b/>
          <w:sz w:val="21"/>
          <w:szCs w:val="21"/>
        </w:rPr>
      </w:pPr>
    </w:p>
    <w:p w:rsidR="00A51CDD" w:rsidRDefault="00A51CDD" w:rsidP="00196290">
      <w:pPr>
        <w:tabs>
          <w:tab w:val="left" w:pos="0"/>
        </w:tabs>
        <w:jc w:val="center"/>
        <w:rPr>
          <w:rFonts w:ascii="Calibri" w:hAnsi="Calibri" w:cs="Calibri"/>
          <w:b/>
          <w:sz w:val="21"/>
          <w:szCs w:val="21"/>
        </w:rPr>
      </w:pPr>
    </w:p>
    <w:p w:rsidR="00330D14" w:rsidRDefault="00330D14" w:rsidP="00196290">
      <w:pPr>
        <w:tabs>
          <w:tab w:val="left" w:pos="0"/>
        </w:tabs>
        <w:jc w:val="center"/>
        <w:rPr>
          <w:rFonts w:ascii="Calibri" w:hAnsi="Calibri" w:cs="Calibri"/>
          <w:b/>
          <w:sz w:val="21"/>
          <w:szCs w:val="21"/>
        </w:rPr>
      </w:pPr>
    </w:p>
    <w:p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1E65B3">
        <w:rPr>
          <w:rFonts w:ascii="Calibri" w:hAnsi="Calibri" w:cs="Calibri"/>
          <w:b/>
          <w:sz w:val="21"/>
          <w:szCs w:val="21"/>
        </w:rPr>
        <w:t>DICIEMBRE</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rsidR="00E810F9" w:rsidRDefault="0090460C"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75F7056B" wp14:editId="2EC37A28">
            <wp:extent cx="5732141" cy="3936738"/>
            <wp:effectExtent l="0" t="0" r="254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148" cy="3942237"/>
                    </a:xfrm>
                    <a:prstGeom prst="rect">
                      <a:avLst/>
                    </a:prstGeom>
                    <a:noFill/>
                  </pic:spPr>
                </pic:pic>
              </a:graphicData>
            </a:graphic>
          </wp:inline>
        </w:drawing>
      </w:r>
    </w:p>
    <w:p w:rsidR="004C761E" w:rsidRDefault="0090460C" w:rsidP="00A73100">
      <w:pPr>
        <w:ind w:left="-567"/>
        <w:jc w:val="center"/>
        <w:rPr>
          <w:rFonts w:ascii="Calibri" w:hAnsi="Calibri" w:cs="Calibri"/>
          <w:b/>
          <w:sz w:val="21"/>
          <w:szCs w:val="21"/>
        </w:rPr>
      </w:pPr>
      <w:r>
        <w:rPr>
          <w:rFonts w:ascii="Calibri" w:hAnsi="Calibri" w:cs="Calibri"/>
          <w:b/>
          <w:noProof/>
          <w:sz w:val="21"/>
          <w:szCs w:val="21"/>
        </w:rPr>
        <w:lastRenderedPageBreak/>
        <w:drawing>
          <wp:inline distT="0" distB="0" distL="0" distR="0" wp14:anchorId="473CFC33" wp14:editId="7EA88B17">
            <wp:extent cx="4905375" cy="385073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069" cy="3851277"/>
                    </a:xfrm>
                    <a:prstGeom prst="rect">
                      <a:avLst/>
                    </a:prstGeom>
                    <a:noFill/>
                  </pic:spPr>
                </pic:pic>
              </a:graphicData>
            </a:graphic>
          </wp:inline>
        </w:drawing>
      </w:r>
    </w:p>
    <w:p w:rsidR="003C18CD" w:rsidRDefault="003C18CD" w:rsidP="005F17F7">
      <w:pPr>
        <w:ind w:left="-567"/>
        <w:jc w:val="center"/>
        <w:rPr>
          <w:rFonts w:ascii="Calibri" w:hAnsi="Calibri" w:cs="Calibri"/>
          <w:b/>
          <w:sz w:val="21"/>
          <w:szCs w:val="21"/>
        </w:rPr>
      </w:pPr>
    </w:p>
    <w:p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rsidR="00FB3D8B" w:rsidRDefault="00FB3D8B" w:rsidP="00E0320F">
      <w:pPr>
        <w:tabs>
          <w:tab w:val="left" w:pos="0"/>
        </w:tabs>
        <w:spacing w:after="0" w:line="240" w:lineRule="auto"/>
        <w:rPr>
          <w:rFonts w:ascii="Calibri" w:hAnsi="Calibri" w:cs="Arial"/>
          <w:b/>
          <w:sz w:val="20"/>
          <w:szCs w:val="20"/>
        </w:rPr>
      </w:pPr>
    </w:p>
    <w:p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90460C">
        <w:rPr>
          <w:b/>
        </w:rPr>
        <w:t>diciembre</w:t>
      </w:r>
      <w:r w:rsidRPr="00EA72CD">
        <w:rPr>
          <w:b/>
        </w:rPr>
        <w:t xml:space="preserve"> 201</w:t>
      </w:r>
      <w:r w:rsidR="00C742BA" w:rsidRPr="00EA72CD">
        <w:rPr>
          <w:b/>
        </w:rPr>
        <w:t>7</w:t>
      </w:r>
    </w:p>
    <w:p w:rsidR="00196290" w:rsidRDefault="00196290" w:rsidP="00196290">
      <w:pPr>
        <w:pStyle w:val="Prrafodelista"/>
        <w:tabs>
          <w:tab w:val="left" w:pos="0"/>
        </w:tabs>
        <w:ind w:left="0"/>
        <w:rPr>
          <w:rFonts w:ascii="Calibri" w:hAnsi="Calibri" w:cs="Calibri"/>
          <w:b/>
          <w:sz w:val="21"/>
          <w:szCs w:val="21"/>
        </w:rPr>
      </w:pPr>
    </w:p>
    <w:p w:rsidR="00FB3D8B" w:rsidRDefault="0090460C" w:rsidP="00FB3D8B">
      <w:pPr>
        <w:pStyle w:val="Prrafodelista"/>
        <w:tabs>
          <w:tab w:val="left" w:pos="0"/>
        </w:tabs>
        <w:ind w:left="0"/>
        <w:rPr>
          <w:rFonts w:ascii="Calibri" w:hAnsi="Calibri" w:cs="Calibri"/>
          <w:b/>
          <w:sz w:val="21"/>
          <w:szCs w:val="21"/>
        </w:rPr>
      </w:pPr>
      <w:r>
        <w:rPr>
          <w:rFonts w:ascii="Calibri" w:hAnsi="Calibri" w:cs="Calibri"/>
          <w:b/>
          <w:noProof/>
          <w:sz w:val="21"/>
          <w:szCs w:val="21"/>
        </w:rPr>
        <w:lastRenderedPageBreak/>
        <w:drawing>
          <wp:inline distT="0" distB="0" distL="0" distR="0" wp14:anchorId="0C2107CE" wp14:editId="67E66364">
            <wp:extent cx="5403628" cy="3796665"/>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9017" cy="3800452"/>
                    </a:xfrm>
                    <a:prstGeom prst="rect">
                      <a:avLst/>
                    </a:prstGeom>
                    <a:noFill/>
                  </pic:spPr>
                </pic:pic>
              </a:graphicData>
            </a:graphic>
          </wp:inline>
        </w:drawing>
      </w:r>
    </w:p>
    <w:p w:rsidR="00FB3D8B" w:rsidRDefault="00FB3D8B" w:rsidP="00DE53E5">
      <w:pPr>
        <w:tabs>
          <w:tab w:val="left" w:pos="0"/>
        </w:tabs>
        <w:jc w:val="center"/>
        <w:rPr>
          <w:rFonts w:ascii="Calibri" w:hAnsi="Calibri" w:cs="Calibri"/>
          <w:b/>
          <w:sz w:val="21"/>
          <w:szCs w:val="21"/>
        </w:rPr>
      </w:pPr>
    </w:p>
    <w:p w:rsidR="00A73100" w:rsidRDefault="00A73100" w:rsidP="00DE53E5">
      <w:pPr>
        <w:tabs>
          <w:tab w:val="left" w:pos="0"/>
        </w:tabs>
        <w:jc w:val="center"/>
        <w:rPr>
          <w:rFonts w:ascii="Calibri" w:hAnsi="Calibri" w:cs="Calibri"/>
          <w:b/>
          <w:sz w:val="21"/>
          <w:szCs w:val="21"/>
        </w:rPr>
      </w:pPr>
    </w:p>
    <w:p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C742BA">
        <w:rPr>
          <w:b/>
        </w:rPr>
        <w:t>7</w:t>
      </w:r>
    </w:p>
    <w:p w:rsidR="005B1CCB" w:rsidRPr="001152D3" w:rsidRDefault="005B1CCB" w:rsidP="005B1CCB">
      <w:pPr>
        <w:pStyle w:val="Prrafodelista"/>
        <w:tabs>
          <w:tab w:val="left" w:pos="0"/>
        </w:tabs>
        <w:ind w:left="0"/>
        <w:rPr>
          <w:b/>
        </w:rPr>
      </w:pPr>
    </w:p>
    <w:p w:rsidR="00FB3D8B" w:rsidRPr="001E2D5F" w:rsidRDefault="0090460C" w:rsidP="005B1CCB">
      <w:pPr>
        <w:pStyle w:val="Prrafodelista"/>
        <w:tabs>
          <w:tab w:val="left" w:pos="0"/>
        </w:tabs>
        <w:ind w:left="0" w:hanging="567"/>
        <w:rPr>
          <w:b/>
        </w:rPr>
      </w:pPr>
      <w:r>
        <w:rPr>
          <w:b/>
          <w:noProof/>
        </w:rPr>
        <w:drawing>
          <wp:inline distT="0" distB="0" distL="0" distR="0" wp14:anchorId="75936BE9" wp14:editId="18536905">
            <wp:extent cx="5582920" cy="204598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7652" cy="2051384"/>
                    </a:xfrm>
                    <a:prstGeom prst="rect">
                      <a:avLst/>
                    </a:prstGeom>
                    <a:noFill/>
                  </pic:spPr>
                </pic:pic>
              </a:graphicData>
            </a:graphic>
          </wp:inline>
        </w:drawing>
      </w:r>
    </w:p>
    <w:p w:rsidR="00AC7932" w:rsidRDefault="00AC7932" w:rsidP="00FB3D8B">
      <w:pPr>
        <w:tabs>
          <w:tab w:val="left" w:pos="0"/>
        </w:tabs>
        <w:jc w:val="center"/>
      </w:pPr>
    </w:p>
    <w:p w:rsidR="00330D14" w:rsidRDefault="00330D14" w:rsidP="00FB3D8B">
      <w:pPr>
        <w:tabs>
          <w:tab w:val="left" w:pos="0"/>
        </w:tabs>
        <w:jc w:val="center"/>
      </w:pPr>
    </w:p>
    <w:p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90460C">
        <w:rPr>
          <w:b/>
        </w:rPr>
        <w:t>6</w:t>
      </w:r>
      <w:r w:rsidRPr="00EA72CD">
        <w:rPr>
          <w:b/>
        </w:rPr>
        <w:t>-201</w:t>
      </w:r>
      <w:r w:rsidR="00C742BA" w:rsidRPr="00EA72CD">
        <w:rPr>
          <w:b/>
        </w:rPr>
        <w:t>7</w:t>
      </w:r>
    </w:p>
    <w:p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39"/>
        <w:gridCol w:w="63"/>
        <w:gridCol w:w="705"/>
        <w:gridCol w:w="596"/>
        <w:gridCol w:w="613"/>
        <w:gridCol w:w="593"/>
        <w:gridCol w:w="613"/>
        <w:gridCol w:w="600"/>
        <w:gridCol w:w="613"/>
        <w:gridCol w:w="593"/>
        <w:gridCol w:w="593"/>
        <w:gridCol w:w="600"/>
        <w:gridCol w:w="580"/>
        <w:gridCol w:w="593"/>
      </w:tblGrid>
      <w:tr w:rsidR="0090460C" w:rsidRPr="00FC76DD" w:rsidTr="00FC76DD">
        <w:trPr>
          <w:trHeight w:val="397"/>
        </w:trPr>
        <w:tc>
          <w:tcPr>
            <w:tcW w:w="0" w:type="auto"/>
            <w:tcBorders>
              <w:top w:val="nil"/>
              <w:left w:val="nil"/>
              <w:bottom w:val="single" w:sz="8" w:space="0" w:color="auto"/>
              <w:right w:val="nil"/>
            </w:tcBorders>
            <w:shd w:val="clear" w:color="auto" w:fill="auto"/>
            <w:noWrap/>
            <w:vAlign w:val="center"/>
            <w:hideMark/>
          </w:tcPr>
          <w:p w:rsidR="0090460C" w:rsidRPr="00FC76DD" w:rsidRDefault="0090460C" w:rsidP="0090460C">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rsidR="0090460C" w:rsidRPr="00FC76DD" w:rsidRDefault="0090460C" w:rsidP="0090460C">
            <w:pPr>
              <w:spacing w:line="240" w:lineRule="auto"/>
              <w:jc w:val="center"/>
              <w:rPr>
                <w:rFonts w:ascii="Calibri" w:hAnsi="Calibri"/>
                <w:b/>
                <w:bCs/>
                <w:color w:val="FFFFFF"/>
                <w:sz w:val="10"/>
                <w:szCs w:val="10"/>
              </w:rPr>
            </w:pPr>
            <w:r w:rsidRPr="00FC76DD">
              <w:rPr>
                <w:rFonts w:ascii="Calibri" w:hAnsi="Calibri" w:cs="Calibri"/>
                <w:b/>
                <w:bCs/>
                <w:color w:val="FFFFFF"/>
                <w:sz w:val="10"/>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proofErr w:type="spellStart"/>
            <w:r w:rsidRPr="00FC76DD">
              <w:rPr>
                <w:rFonts w:ascii="Calibri" w:hAnsi="Calibri" w:cs="Calibri"/>
                <w:b/>
                <w:bCs/>
                <w:color w:val="FFFFFF"/>
                <w:sz w:val="10"/>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proofErr w:type="spellStart"/>
            <w:r w:rsidRPr="00FC76DD">
              <w:rPr>
                <w:rFonts w:ascii="Calibri" w:hAnsi="Calibri" w:cs="Calibri"/>
                <w:b/>
                <w:bCs/>
                <w:color w:val="FFFFFF"/>
                <w:sz w:val="10"/>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90460C" w:rsidRPr="00FC76DD" w:rsidRDefault="0090460C" w:rsidP="0090460C">
            <w:pPr>
              <w:jc w:val="center"/>
              <w:rPr>
                <w:rFonts w:ascii="Calibri" w:hAnsi="Calibri"/>
                <w:b/>
                <w:bCs/>
                <w:color w:val="FFFFFF"/>
                <w:sz w:val="10"/>
                <w:szCs w:val="10"/>
              </w:rPr>
            </w:pPr>
            <w:r w:rsidRPr="00FC76DD">
              <w:rPr>
                <w:rFonts w:ascii="Calibri" w:hAnsi="Calibri" w:cs="Calibri"/>
                <w:b/>
                <w:bCs/>
                <w:color w:val="FFFFFF"/>
                <w:sz w:val="10"/>
                <w:szCs w:val="12"/>
              </w:rPr>
              <w:t>Dic</w:t>
            </w:r>
          </w:p>
        </w:tc>
      </w:tr>
      <w:tr w:rsidR="00FB3D8B" w:rsidRPr="00FC76DD"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 xml:space="preserve">Ingresos brutos del juego o </w:t>
            </w:r>
            <w:proofErr w:type="spellStart"/>
            <w:r w:rsidRPr="00FC76DD">
              <w:rPr>
                <w:rFonts w:ascii="Calibri" w:eastAsia="Times New Roman" w:hAnsi="Calibri" w:cs="Times New Roman"/>
                <w:b/>
                <w:bCs/>
                <w:color w:val="FFFFFF"/>
                <w:sz w:val="10"/>
                <w:szCs w:val="10"/>
                <w:lang w:val="es-ES" w:eastAsia="es-ES"/>
              </w:rPr>
              <w:t>win</w:t>
            </w:r>
            <w:proofErr w:type="spellEnd"/>
            <w:r w:rsidRPr="00FC76DD">
              <w:rPr>
                <w:rFonts w:ascii="Calibri" w:eastAsia="Times New Roman" w:hAnsi="Calibri" w:cs="Times New Roman"/>
                <w:b/>
                <w:bCs/>
                <w:color w:val="FFFFFF"/>
                <w:sz w:val="10"/>
                <w:szCs w:val="10"/>
                <w:lang w:val="es-ES" w:eastAsia="es-ES"/>
              </w:rPr>
              <w:t xml:space="preserve"> ($ millones)</w:t>
            </w:r>
          </w:p>
        </w:tc>
      </w:tr>
      <w:tr w:rsidR="00FB3D8B" w:rsidRPr="00FC76DD"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lastRenderedPageBreak/>
              <w:t>VALORES NOMINALES</w:t>
            </w:r>
          </w:p>
        </w:tc>
      </w:tr>
      <w:tr w:rsidR="0090460C" w:rsidRPr="00FC76DD"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spacing w:line="240" w:lineRule="auto"/>
              <w:jc w:val="left"/>
              <w:rPr>
                <w:rFonts w:ascii="Calibri" w:hAnsi="Calibri"/>
                <w:color w:val="000000"/>
                <w:sz w:val="10"/>
                <w:szCs w:val="10"/>
              </w:rPr>
            </w:pPr>
            <w:r w:rsidRPr="00FC76DD">
              <w:rPr>
                <w:rFonts w:ascii="Calibri" w:hAnsi="Calibri" w:cs="Calibri"/>
                <w:color w:val="000000"/>
                <w:sz w:val="10"/>
                <w:szCs w:val="12"/>
              </w:rPr>
              <w:t>Win enero 2016-diciembre 2016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spacing w:line="240" w:lineRule="auto"/>
              <w:jc w:val="center"/>
              <w:rPr>
                <w:rFonts w:ascii="Calibri" w:hAnsi="Calibri"/>
                <w:color w:val="000000"/>
                <w:sz w:val="10"/>
                <w:szCs w:val="10"/>
              </w:rPr>
            </w:pPr>
            <w:r w:rsidRPr="00FC76DD">
              <w:rPr>
                <w:rFonts w:ascii="Calibri" w:hAnsi="Calibri" w:cs="Calibri"/>
                <w:color w:val="000000"/>
                <w:sz w:val="10"/>
                <w:szCs w:val="12"/>
              </w:rPr>
              <w:t xml:space="preserve">                                 25.785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23.933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25.473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25.472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26.801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24.918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27.583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26.945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25.789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26.974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23.653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25.277 </w:t>
            </w:r>
          </w:p>
        </w:tc>
      </w:tr>
      <w:tr w:rsidR="0090460C" w:rsidRPr="00FC76DD"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left"/>
              <w:rPr>
                <w:rFonts w:ascii="Calibri" w:hAnsi="Calibri"/>
                <w:color w:val="000000"/>
                <w:sz w:val="10"/>
                <w:szCs w:val="10"/>
              </w:rPr>
            </w:pPr>
            <w:proofErr w:type="spellStart"/>
            <w:r w:rsidRPr="00FC76DD">
              <w:rPr>
                <w:rFonts w:ascii="Calibri" w:hAnsi="Calibri" w:cs="Calibri"/>
                <w:color w:val="000000"/>
                <w:sz w:val="10"/>
                <w:szCs w:val="12"/>
              </w:rPr>
              <w:t>Win</w:t>
            </w:r>
            <w:proofErr w:type="spellEnd"/>
            <w:r w:rsidRPr="00FC76DD">
              <w:rPr>
                <w:rFonts w:ascii="Calibri" w:hAnsi="Calibri" w:cs="Calibri"/>
                <w:color w:val="000000"/>
                <w:sz w:val="10"/>
                <w:szCs w:val="12"/>
              </w:rPr>
              <w:t xml:space="preserve"> enero 2017-diciembre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26.014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23.857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27.467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27.275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25.677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27.756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23.693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25.991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26.829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26.274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24.322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26.904 </w:t>
            </w:r>
          </w:p>
        </w:tc>
      </w:tr>
      <w:tr w:rsidR="0090460C" w:rsidRPr="00FC76DD"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left"/>
              <w:rPr>
                <w:rFonts w:ascii="Calibri" w:hAnsi="Calibri"/>
                <w:color w:val="000000"/>
                <w:sz w:val="10"/>
                <w:szCs w:val="10"/>
              </w:rPr>
            </w:pPr>
            <w:r w:rsidRPr="00FC76DD">
              <w:rPr>
                <w:rFonts w:ascii="Calibri" w:hAnsi="Calibri" w:cs="Calibri"/>
                <w:color w:val="000000"/>
                <w:sz w:val="10"/>
                <w:szCs w:val="12"/>
              </w:rPr>
              <w:t xml:space="preserve">Crecimiento </w:t>
            </w:r>
            <w:proofErr w:type="spellStart"/>
            <w:r w:rsidRPr="00FC76DD">
              <w:rPr>
                <w:rFonts w:ascii="Calibri" w:hAnsi="Calibri" w:cs="Calibri"/>
                <w:color w:val="000000"/>
                <w:sz w:val="10"/>
                <w:szCs w:val="12"/>
              </w:rPr>
              <w:t>Win</w:t>
            </w:r>
            <w:proofErr w:type="spellEnd"/>
            <w:r w:rsidRPr="00FC76DD">
              <w:rPr>
                <w:rFonts w:ascii="Calibri" w:hAnsi="Calibri" w:cs="Calibri"/>
                <w:color w:val="000000"/>
                <w:sz w:val="10"/>
                <w:szCs w:val="12"/>
              </w:rPr>
              <w:t xml:space="preserve">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0,9%</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-0,3%</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7,8%</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-4,2%</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11,4%</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-14,1%</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-3,5%</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-2,6%</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6,4%</w:t>
            </w:r>
          </w:p>
        </w:tc>
      </w:tr>
      <w:tr w:rsidR="00FB3D8B" w:rsidRPr="00FC76DD"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rsidR="00FB3D8B" w:rsidRPr="00FC76DD" w:rsidRDefault="0090460C" w:rsidP="004843DA">
            <w:pPr>
              <w:jc w:val="center"/>
              <w:rPr>
                <w:rFonts w:ascii="Calibri" w:hAnsi="Calibri"/>
                <w:color w:val="000000"/>
                <w:sz w:val="10"/>
                <w:szCs w:val="10"/>
              </w:rPr>
            </w:pPr>
            <w:r w:rsidRPr="00FC76DD">
              <w:rPr>
                <w:rFonts w:ascii="Calibri" w:hAnsi="Calibri"/>
                <w:color w:val="000000"/>
                <w:sz w:val="10"/>
                <w:szCs w:val="10"/>
              </w:rPr>
              <w:t>1</w:t>
            </w:r>
            <w:r w:rsidR="005305FC" w:rsidRPr="00FC76DD">
              <w:rPr>
                <w:rFonts w:ascii="Calibri" w:hAnsi="Calibri"/>
                <w:color w:val="000000"/>
                <w:sz w:val="10"/>
                <w:szCs w:val="10"/>
              </w:rPr>
              <w:t>.</w:t>
            </w:r>
            <w:r w:rsidRPr="00FC76DD">
              <w:rPr>
                <w:rFonts w:ascii="Calibri" w:hAnsi="Calibri"/>
                <w:color w:val="000000"/>
                <w:sz w:val="10"/>
                <w:szCs w:val="10"/>
              </w:rPr>
              <w:t>1</w:t>
            </w:r>
            <w:r w:rsidR="005305FC" w:rsidRPr="00FC76DD">
              <w:rPr>
                <w:rFonts w:ascii="Calibri" w:hAnsi="Calibri"/>
                <w:color w:val="000000"/>
                <w:sz w:val="10"/>
                <w:szCs w:val="10"/>
              </w:rPr>
              <w:t>%</w:t>
            </w:r>
          </w:p>
        </w:tc>
      </w:tr>
      <w:tr w:rsidR="00FB3D8B" w:rsidRPr="00FC76DD"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 xml:space="preserve">Ingresos brutos del juego o </w:t>
            </w:r>
            <w:proofErr w:type="spellStart"/>
            <w:r w:rsidRPr="00FC76DD">
              <w:rPr>
                <w:rFonts w:ascii="Calibri" w:eastAsia="Times New Roman" w:hAnsi="Calibri" w:cs="Times New Roman"/>
                <w:b/>
                <w:bCs/>
                <w:color w:val="FFFFFF"/>
                <w:sz w:val="10"/>
                <w:szCs w:val="10"/>
                <w:lang w:val="es-ES" w:eastAsia="es-ES"/>
              </w:rPr>
              <w:t>win</w:t>
            </w:r>
            <w:proofErr w:type="spellEnd"/>
            <w:r w:rsidRPr="00FC76DD">
              <w:rPr>
                <w:rFonts w:ascii="Calibri" w:eastAsia="Times New Roman" w:hAnsi="Calibri" w:cs="Times New Roman"/>
                <w:b/>
                <w:bCs/>
                <w:color w:val="FFFFFF"/>
                <w:sz w:val="10"/>
                <w:szCs w:val="10"/>
                <w:lang w:val="es-ES" w:eastAsia="es-ES"/>
              </w:rPr>
              <w:t xml:space="preserve"> UF)</w:t>
            </w:r>
          </w:p>
        </w:tc>
      </w:tr>
      <w:tr w:rsidR="00FB3D8B" w:rsidRPr="00FC76DD"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90460C" w:rsidRPr="00FC76DD"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spacing w:line="240" w:lineRule="auto"/>
              <w:jc w:val="left"/>
              <w:rPr>
                <w:rFonts w:ascii="Calibri" w:hAnsi="Calibri"/>
                <w:color w:val="000000"/>
                <w:sz w:val="10"/>
                <w:szCs w:val="10"/>
              </w:rPr>
            </w:pPr>
            <w:r w:rsidRPr="00FC76DD">
              <w:rPr>
                <w:rFonts w:ascii="Calibri" w:hAnsi="Calibri" w:cs="Calibri"/>
                <w:color w:val="000000"/>
                <w:sz w:val="10"/>
                <w:szCs w:val="12"/>
              </w:rPr>
              <w:t>Win enero 2016-diciembre 2016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spacing w:line="240" w:lineRule="auto"/>
              <w:jc w:val="center"/>
              <w:rPr>
                <w:rFonts w:ascii="Calibri" w:hAnsi="Calibri"/>
                <w:color w:val="000000"/>
                <w:sz w:val="10"/>
                <w:szCs w:val="10"/>
              </w:rPr>
            </w:pPr>
            <w:r w:rsidRPr="00FC76DD">
              <w:rPr>
                <w:rFonts w:ascii="Calibri" w:hAnsi="Calibri" w:cs="Calibri"/>
                <w:color w:val="000000"/>
                <w:sz w:val="10"/>
                <w:szCs w:val="12"/>
              </w:rPr>
              <w:t xml:space="preserve">                           1.006.072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930.609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986.864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983.225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1.031.081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956.484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1.055.128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1.028.064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983.407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1.027.149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898.880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959.347 </w:t>
            </w:r>
          </w:p>
        </w:tc>
      </w:tr>
      <w:tr w:rsidR="0090460C" w:rsidRPr="00FC76DD"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left"/>
              <w:rPr>
                <w:rFonts w:ascii="Calibri" w:hAnsi="Calibri"/>
                <w:color w:val="000000"/>
                <w:sz w:val="10"/>
                <w:szCs w:val="10"/>
              </w:rPr>
            </w:pPr>
            <w:proofErr w:type="spellStart"/>
            <w:r w:rsidRPr="00FC76DD">
              <w:rPr>
                <w:rFonts w:ascii="Calibri" w:hAnsi="Calibri" w:cs="Calibri"/>
                <w:color w:val="000000"/>
                <w:sz w:val="10"/>
                <w:szCs w:val="12"/>
              </w:rPr>
              <w:t>Win</w:t>
            </w:r>
            <w:proofErr w:type="spellEnd"/>
            <w:r w:rsidRPr="00FC76DD">
              <w:rPr>
                <w:rFonts w:ascii="Calibri" w:hAnsi="Calibri" w:cs="Calibri"/>
                <w:color w:val="000000"/>
                <w:sz w:val="10"/>
                <w:szCs w:val="12"/>
              </w:rPr>
              <w:t xml:space="preserve"> enero 2017-diciembre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988.444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903.951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1.037.577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1.026.847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964.194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1.040.915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890.797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976.954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1.006.456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986.457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909.839 </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 xml:space="preserve">                  1.003.960 </w:t>
            </w:r>
          </w:p>
        </w:tc>
      </w:tr>
      <w:tr w:rsidR="0090460C" w:rsidRPr="00FC76DD"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left"/>
              <w:rPr>
                <w:rFonts w:ascii="Calibri" w:hAnsi="Calibri"/>
                <w:bCs/>
                <w:color w:val="000000"/>
                <w:sz w:val="10"/>
                <w:szCs w:val="10"/>
              </w:rPr>
            </w:pPr>
            <w:r w:rsidRPr="00FC76DD">
              <w:rPr>
                <w:rFonts w:ascii="Calibri" w:hAnsi="Calibri" w:cs="Calibri"/>
                <w:b/>
                <w:bCs/>
                <w:color w:val="000000"/>
                <w:sz w:val="10"/>
                <w:szCs w:val="12"/>
              </w:rPr>
              <w:t xml:space="preserve">Crecimiento </w:t>
            </w:r>
            <w:proofErr w:type="spellStart"/>
            <w:r w:rsidRPr="00FC76DD">
              <w:rPr>
                <w:rFonts w:ascii="Calibri" w:hAnsi="Calibri" w:cs="Calibri"/>
                <w:b/>
                <w:bCs/>
                <w:color w:val="000000"/>
                <w:sz w:val="10"/>
                <w:szCs w:val="12"/>
              </w:rPr>
              <w:t>Win</w:t>
            </w:r>
            <w:proofErr w:type="spellEnd"/>
            <w:r w:rsidRPr="00FC76DD">
              <w:rPr>
                <w:rFonts w:ascii="Calibri" w:hAnsi="Calibri" w:cs="Calibri"/>
                <w:b/>
                <w:bCs/>
                <w:color w:val="000000"/>
                <w:sz w:val="10"/>
                <w:szCs w:val="12"/>
              </w:rPr>
              <w:t xml:space="preserve">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-1,8%</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-2,9%</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5,1%</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-6,5%</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-15,6%</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-5,0%</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rsidR="0090460C" w:rsidRPr="00FC76DD" w:rsidRDefault="0090460C" w:rsidP="0090460C">
            <w:pPr>
              <w:jc w:val="center"/>
              <w:rPr>
                <w:rFonts w:ascii="Calibri" w:hAnsi="Calibri"/>
                <w:color w:val="000000"/>
                <w:sz w:val="10"/>
                <w:szCs w:val="10"/>
              </w:rPr>
            </w:pPr>
            <w:r w:rsidRPr="00FC76DD">
              <w:rPr>
                <w:rFonts w:ascii="Calibri" w:hAnsi="Calibri" w:cs="Calibri"/>
                <w:color w:val="000000"/>
                <w:sz w:val="10"/>
                <w:szCs w:val="12"/>
              </w:rPr>
              <w:t>4,7%</w:t>
            </w:r>
          </w:p>
        </w:tc>
      </w:tr>
      <w:tr w:rsidR="00FB3D8B" w:rsidRPr="00FC76DD"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Win </w:t>
            </w:r>
            <w:r w:rsidR="00EB4FB2" w:rsidRPr="00FC76DD">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rsidR="00FB3D8B" w:rsidRPr="00FC76DD" w:rsidRDefault="000E4826" w:rsidP="00574797">
            <w:pPr>
              <w:jc w:val="center"/>
              <w:rPr>
                <w:rFonts w:ascii="Calibri" w:hAnsi="Calibri"/>
                <w:color w:val="000000"/>
                <w:sz w:val="10"/>
                <w:szCs w:val="10"/>
              </w:rPr>
            </w:pPr>
            <w:r w:rsidRPr="00FC76DD">
              <w:rPr>
                <w:rFonts w:ascii="Calibri" w:hAnsi="Calibri"/>
                <w:color w:val="000000"/>
                <w:sz w:val="10"/>
                <w:szCs w:val="10"/>
              </w:rPr>
              <w:t>-</w:t>
            </w:r>
            <w:r w:rsidR="0090460C" w:rsidRPr="00FC76DD">
              <w:rPr>
                <w:rFonts w:ascii="Calibri" w:hAnsi="Calibri"/>
                <w:color w:val="000000"/>
                <w:sz w:val="10"/>
                <w:szCs w:val="10"/>
              </w:rPr>
              <w:t>0</w:t>
            </w:r>
            <w:r w:rsidR="00356EEF" w:rsidRPr="00FC76DD">
              <w:rPr>
                <w:rFonts w:ascii="Calibri" w:hAnsi="Calibri"/>
                <w:color w:val="000000"/>
                <w:sz w:val="10"/>
                <w:szCs w:val="10"/>
              </w:rPr>
              <w:t>,</w:t>
            </w:r>
            <w:r w:rsidR="0090460C" w:rsidRPr="00FC76DD">
              <w:rPr>
                <w:rFonts w:ascii="Calibri" w:hAnsi="Calibri"/>
                <w:color w:val="000000"/>
                <w:sz w:val="10"/>
                <w:szCs w:val="10"/>
              </w:rPr>
              <w:t>9</w:t>
            </w:r>
            <w:r w:rsidR="00EB4FB2" w:rsidRPr="00FC76DD">
              <w:rPr>
                <w:rFonts w:ascii="Calibri" w:hAnsi="Calibri"/>
                <w:color w:val="000000"/>
                <w:sz w:val="10"/>
                <w:szCs w:val="10"/>
              </w:rPr>
              <w:t>%</w:t>
            </w:r>
          </w:p>
        </w:tc>
      </w:tr>
    </w:tbl>
    <w:p w:rsidR="005B1CCB" w:rsidRDefault="005B1CCB" w:rsidP="00FB3D8B">
      <w:pPr>
        <w:tabs>
          <w:tab w:val="left" w:pos="0"/>
        </w:tabs>
        <w:ind w:left="-284"/>
        <w:rPr>
          <w:b/>
          <w:sz w:val="18"/>
          <w:szCs w:val="18"/>
        </w:rPr>
      </w:pPr>
    </w:p>
    <w:p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rsidR="00196290" w:rsidRDefault="00196290" w:rsidP="00FB3D8B">
      <w:pPr>
        <w:tabs>
          <w:tab w:val="left" w:pos="0"/>
        </w:tabs>
        <w:ind w:left="-284"/>
        <w:rPr>
          <w:sz w:val="18"/>
          <w:szCs w:val="18"/>
          <w:lang w:val="es-ES"/>
        </w:rPr>
      </w:pPr>
    </w:p>
    <w:p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C742BA">
        <w:rPr>
          <w:b/>
        </w:rPr>
        <w:t>7</w:t>
      </w:r>
    </w:p>
    <w:p w:rsidR="00196290" w:rsidRDefault="0090460C" w:rsidP="00196290">
      <w:pPr>
        <w:pStyle w:val="Prrafodelista"/>
        <w:tabs>
          <w:tab w:val="left" w:pos="0"/>
          <w:tab w:val="left" w:pos="6285"/>
        </w:tabs>
        <w:ind w:left="0"/>
        <w:jc w:val="left"/>
        <w:rPr>
          <w:b/>
        </w:rPr>
      </w:pPr>
      <w:r>
        <w:rPr>
          <w:b/>
          <w:noProof/>
        </w:rPr>
        <w:drawing>
          <wp:inline distT="0" distB="0" distL="0" distR="0" wp14:anchorId="00065302" wp14:editId="1E6D90C8">
            <wp:extent cx="5561998" cy="1908606"/>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3191" cy="1912447"/>
                    </a:xfrm>
                    <a:prstGeom prst="rect">
                      <a:avLst/>
                    </a:prstGeom>
                    <a:noFill/>
                  </pic:spPr>
                </pic:pic>
              </a:graphicData>
            </a:graphic>
          </wp:inline>
        </w:drawing>
      </w:r>
    </w:p>
    <w:p w:rsidR="00FB3D8B" w:rsidRDefault="00FB3D8B" w:rsidP="00196290">
      <w:pPr>
        <w:tabs>
          <w:tab w:val="left" w:pos="0"/>
          <w:tab w:val="left" w:pos="6285"/>
        </w:tabs>
        <w:ind w:hanging="567"/>
      </w:pPr>
    </w:p>
    <w:p w:rsidR="00330D14" w:rsidRDefault="00330D14" w:rsidP="00196290">
      <w:pPr>
        <w:tabs>
          <w:tab w:val="left" w:pos="0"/>
          <w:tab w:val="left" w:pos="6285"/>
        </w:tabs>
        <w:ind w:hanging="567"/>
      </w:pPr>
    </w:p>
    <w:p w:rsidR="00330D14" w:rsidRDefault="00330D14" w:rsidP="00196290">
      <w:pPr>
        <w:tabs>
          <w:tab w:val="left" w:pos="0"/>
          <w:tab w:val="left" w:pos="6285"/>
        </w:tabs>
        <w:ind w:hanging="567"/>
      </w:pPr>
    </w:p>
    <w:p w:rsidR="00EA3A51" w:rsidRDefault="00EA3A51">
      <w:pPr>
        <w:spacing w:line="259" w:lineRule="auto"/>
        <w:jc w:val="left"/>
      </w:pPr>
      <w:r>
        <w:br w:type="page"/>
      </w:r>
    </w:p>
    <w:p w:rsidR="00330D14" w:rsidRDefault="00330D14" w:rsidP="00196290">
      <w:pPr>
        <w:tabs>
          <w:tab w:val="left" w:pos="0"/>
          <w:tab w:val="left" w:pos="6285"/>
        </w:tabs>
        <w:ind w:hanging="567"/>
      </w:pPr>
    </w:p>
    <w:p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90460C">
        <w:rPr>
          <w:b/>
        </w:rPr>
        <w:t>6</w:t>
      </w:r>
      <w:r>
        <w:rPr>
          <w:b/>
        </w:rPr>
        <w:t>-201</w:t>
      </w:r>
      <w:r w:rsidR="00C742BA">
        <w:rPr>
          <w:b/>
        </w:rPr>
        <w:t>7</w:t>
      </w:r>
    </w:p>
    <w:p w:rsidR="00FB3D8B" w:rsidRDefault="00FB3D8B" w:rsidP="00FB3D8B">
      <w:pPr>
        <w:pStyle w:val="Prrafodelista"/>
        <w:tabs>
          <w:tab w:val="left" w:pos="0"/>
          <w:tab w:val="left" w:pos="6285"/>
        </w:tabs>
        <w:ind w:left="0"/>
        <w:jc w:val="left"/>
      </w:pPr>
    </w:p>
    <w:p w:rsidR="00FB3D8B" w:rsidRDefault="0090460C" w:rsidP="00FB3D8B">
      <w:pPr>
        <w:pStyle w:val="Prrafodelista"/>
        <w:tabs>
          <w:tab w:val="left" w:pos="0"/>
        </w:tabs>
        <w:ind w:left="0"/>
        <w:jc w:val="left"/>
      </w:pPr>
      <w:r>
        <w:rPr>
          <w:noProof/>
        </w:rPr>
        <w:drawing>
          <wp:inline distT="0" distB="0" distL="0" distR="0" wp14:anchorId="3E5487E1" wp14:editId="596F766A">
            <wp:extent cx="5455630" cy="18711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4303" cy="1881028"/>
                    </a:xfrm>
                    <a:prstGeom prst="rect">
                      <a:avLst/>
                    </a:prstGeom>
                    <a:noFill/>
                  </pic:spPr>
                </pic:pic>
              </a:graphicData>
            </a:graphic>
          </wp:inline>
        </w:drawing>
      </w:r>
    </w:p>
    <w:p w:rsidR="00FB3D8B" w:rsidRDefault="00FB3D8B" w:rsidP="00FB3D8B">
      <w:pPr>
        <w:pStyle w:val="Prrafodelista"/>
        <w:tabs>
          <w:tab w:val="left" w:pos="0"/>
          <w:tab w:val="left" w:pos="6285"/>
        </w:tabs>
        <w:ind w:left="0"/>
        <w:jc w:val="left"/>
        <w:rPr>
          <w:b/>
        </w:rPr>
      </w:pPr>
    </w:p>
    <w:p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C742BA">
        <w:rPr>
          <w:b/>
        </w:rPr>
        <w:t>7</w:t>
      </w:r>
    </w:p>
    <w:p w:rsidR="005B1CCB" w:rsidRPr="00E80F2B" w:rsidRDefault="005B1CCB" w:rsidP="005B1CCB">
      <w:pPr>
        <w:pStyle w:val="Prrafodelista"/>
        <w:tabs>
          <w:tab w:val="left" w:pos="0"/>
          <w:tab w:val="left" w:pos="6285"/>
        </w:tabs>
        <w:ind w:left="0"/>
        <w:jc w:val="left"/>
        <w:rPr>
          <w:b/>
        </w:rPr>
      </w:pPr>
    </w:p>
    <w:p w:rsidR="00FB3D8B" w:rsidRDefault="0090460C" w:rsidP="00FB3D8B">
      <w:pPr>
        <w:pStyle w:val="Prrafodelista"/>
        <w:tabs>
          <w:tab w:val="left" w:pos="0"/>
          <w:tab w:val="left" w:pos="6285"/>
        </w:tabs>
        <w:ind w:left="0"/>
        <w:jc w:val="left"/>
        <w:rPr>
          <w:b/>
        </w:rPr>
      </w:pPr>
      <w:r>
        <w:rPr>
          <w:b/>
          <w:noProof/>
        </w:rPr>
        <w:drawing>
          <wp:inline distT="0" distB="0" distL="0" distR="0" wp14:anchorId="38088194" wp14:editId="585FDF31">
            <wp:extent cx="5496354" cy="1885161"/>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1767" cy="1907597"/>
                    </a:xfrm>
                    <a:prstGeom prst="rect">
                      <a:avLst/>
                    </a:prstGeom>
                    <a:noFill/>
                  </pic:spPr>
                </pic:pic>
              </a:graphicData>
            </a:graphic>
          </wp:inline>
        </w:drawing>
      </w:r>
    </w:p>
    <w:p w:rsidR="00FC76DD" w:rsidRDefault="00FC76DD" w:rsidP="00FB3D8B">
      <w:pPr>
        <w:pStyle w:val="Prrafodelista"/>
        <w:tabs>
          <w:tab w:val="left" w:pos="0"/>
          <w:tab w:val="left" w:pos="6285"/>
        </w:tabs>
        <w:ind w:left="0"/>
        <w:jc w:val="left"/>
        <w:rPr>
          <w:b/>
        </w:rPr>
      </w:pPr>
    </w:p>
    <w:p w:rsidR="00FC76DD" w:rsidRDefault="00FC76DD" w:rsidP="00FB3D8B">
      <w:pPr>
        <w:pStyle w:val="Prrafodelista"/>
        <w:tabs>
          <w:tab w:val="left" w:pos="0"/>
          <w:tab w:val="left" w:pos="6285"/>
        </w:tabs>
        <w:ind w:left="0"/>
        <w:jc w:val="left"/>
        <w:rPr>
          <w:b/>
        </w:rPr>
      </w:pPr>
    </w:p>
    <w:p w:rsidR="00FC76DD" w:rsidRDefault="00FC76DD" w:rsidP="00FB3D8B">
      <w:pPr>
        <w:pStyle w:val="Prrafodelista"/>
        <w:tabs>
          <w:tab w:val="left" w:pos="0"/>
          <w:tab w:val="left" w:pos="6285"/>
        </w:tabs>
        <w:ind w:left="0"/>
        <w:jc w:val="left"/>
        <w:rPr>
          <w:b/>
        </w:rPr>
      </w:pPr>
    </w:p>
    <w:p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FC76DD">
        <w:rPr>
          <w:b/>
        </w:rPr>
        <w:t>noviembre</w:t>
      </w:r>
      <w:r w:rsidR="00D2557C">
        <w:rPr>
          <w:b/>
        </w:rPr>
        <w:t xml:space="preserve"> </w:t>
      </w:r>
      <w:r w:rsidRPr="00EA72CD">
        <w:rPr>
          <w:b/>
        </w:rPr>
        <w:t>-</w:t>
      </w:r>
      <w:r w:rsidR="00F038FF">
        <w:rPr>
          <w:b/>
        </w:rPr>
        <w:t xml:space="preserve"> </w:t>
      </w:r>
      <w:r w:rsidR="00FC76DD">
        <w:rPr>
          <w:b/>
        </w:rPr>
        <w:t>diciem</w:t>
      </w:r>
      <w:r w:rsidR="00F038FF">
        <w:rPr>
          <w:b/>
        </w:rPr>
        <w:t>bre</w:t>
      </w:r>
      <w:r w:rsidRPr="00EA72CD">
        <w:rPr>
          <w:b/>
        </w:rPr>
        <w:t xml:space="preserve"> 201</w:t>
      </w:r>
      <w:r w:rsidR="00C742BA" w:rsidRPr="00EA72CD">
        <w:rPr>
          <w:b/>
        </w:rPr>
        <w:t>7</w:t>
      </w:r>
    </w:p>
    <w:p w:rsidR="00FB3D8B" w:rsidRDefault="0090460C" w:rsidP="004843DA">
      <w:pPr>
        <w:pStyle w:val="Prrafodelista"/>
        <w:tabs>
          <w:tab w:val="left" w:pos="0"/>
          <w:tab w:val="left" w:pos="360"/>
          <w:tab w:val="left" w:pos="6285"/>
        </w:tabs>
        <w:ind w:left="0" w:hanging="567"/>
        <w:jc w:val="center"/>
        <w:rPr>
          <w:b/>
        </w:rPr>
      </w:pPr>
      <w:r>
        <w:rPr>
          <w:b/>
          <w:noProof/>
        </w:rPr>
        <w:drawing>
          <wp:inline distT="0" distB="0" distL="0" distR="0" wp14:anchorId="0D03FC7B" wp14:editId="3FBD18AB">
            <wp:extent cx="5486400" cy="253566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3927" cy="2543767"/>
                    </a:xfrm>
                    <a:prstGeom prst="rect">
                      <a:avLst/>
                    </a:prstGeom>
                    <a:noFill/>
                  </pic:spPr>
                </pic:pic>
              </a:graphicData>
            </a:graphic>
          </wp:inline>
        </w:drawing>
      </w:r>
    </w:p>
    <w:p w:rsidR="00FB3D8B" w:rsidRDefault="00FB3D8B" w:rsidP="00FB3D8B">
      <w:pPr>
        <w:pStyle w:val="Prrafodelista"/>
        <w:tabs>
          <w:tab w:val="left" w:pos="0"/>
          <w:tab w:val="left" w:pos="360"/>
          <w:tab w:val="left" w:pos="6285"/>
        </w:tabs>
        <w:ind w:left="0"/>
        <w:jc w:val="left"/>
        <w:rPr>
          <w:b/>
        </w:rPr>
      </w:pPr>
    </w:p>
    <w:p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FC76DD">
        <w:rPr>
          <w:b/>
        </w:rPr>
        <w:t>diciembre</w:t>
      </w:r>
      <w:r>
        <w:rPr>
          <w:b/>
        </w:rPr>
        <w:t xml:space="preserve"> de 201</w:t>
      </w:r>
      <w:r w:rsidR="00C742BA">
        <w:rPr>
          <w:b/>
        </w:rPr>
        <w:t>7</w:t>
      </w:r>
      <w:r>
        <w:rPr>
          <w:b/>
        </w:rPr>
        <w:t>, valores nominales ($)</w:t>
      </w:r>
    </w:p>
    <w:p w:rsidR="00FB3D8B" w:rsidRDefault="0090460C" w:rsidP="00FB3D8B">
      <w:pPr>
        <w:tabs>
          <w:tab w:val="left" w:pos="0"/>
          <w:tab w:val="left" w:pos="6285"/>
        </w:tabs>
        <w:jc w:val="center"/>
        <w:rPr>
          <w:szCs w:val="21"/>
        </w:rPr>
      </w:pPr>
      <w:r>
        <w:rPr>
          <w:noProof/>
          <w:szCs w:val="21"/>
        </w:rPr>
        <w:drawing>
          <wp:inline distT="0" distB="0" distL="0" distR="0" wp14:anchorId="254786D0" wp14:editId="17A7D3A9">
            <wp:extent cx="5119621" cy="3880129"/>
            <wp:effectExtent l="0" t="0" r="508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2665" cy="3890015"/>
                    </a:xfrm>
                    <a:prstGeom prst="rect">
                      <a:avLst/>
                    </a:prstGeom>
                    <a:noFill/>
                  </pic:spPr>
                </pic:pic>
              </a:graphicData>
            </a:graphic>
          </wp:inline>
        </w:drawing>
      </w:r>
    </w:p>
    <w:p w:rsidR="00FC76DD" w:rsidRDefault="00FC76DD" w:rsidP="00FB3D8B">
      <w:pPr>
        <w:tabs>
          <w:tab w:val="left" w:pos="0"/>
          <w:tab w:val="left" w:pos="6285"/>
        </w:tabs>
        <w:jc w:val="center"/>
        <w:rPr>
          <w:szCs w:val="21"/>
        </w:rPr>
      </w:pPr>
    </w:p>
    <w:p w:rsidR="00670528" w:rsidRPr="00804E4B"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90460C">
        <w:rPr>
          <w:b/>
        </w:rPr>
        <w:t>diciembre</w:t>
      </w:r>
      <w:r w:rsidR="000D553D" w:rsidRPr="00804E4B">
        <w:rPr>
          <w:b/>
        </w:rPr>
        <w:t xml:space="preserve"> de 2017</w:t>
      </w:r>
    </w:p>
    <w:p w:rsidR="00670528" w:rsidRPr="00E660DE" w:rsidRDefault="0090460C" w:rsidP="00670528">
      <w:pPr>
        <w:pStyle w:val="Prrafodelista"/>
        <w:tabs>
          <w:tab w:val="left" w:pos="0"/>
          <w:tab w:val="left" w:pos="6285"/>
        </w:tabs>
        <w:ind w:left="0"/>
        <w:jc w:val="center"/>
        <w:rPr>
          <w:szCs w:val="21"/>
        </w:rPr>
      </w:pPr>
      <w:r>
        <w:rPr>
          <w:noProof/>
          <w:szCs w:val="21"/>
        </w:rPr>
        <w:drawing>
          <wp:inline distT="0" distB="0" distL="0" distR="0" wp14:anchorId="0F2A9395" wp14:editId="0F07F288">
            <wp:extent cx="2574950" cy="324710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6005" cy="3248435"/>
                    </a:xfrm>
                    <a:prstGeom prst="rect">
                      <a:avLst/>
                    </a:prstGeom>
                    <a:noFill/>
                  </pic:spPr>
                </pic:pic>
              </a:graphicData>
            </a:graphic>
          </wp:inline>
        </w:drawing>
      </w:r>
    </w:p>
    <w:p w:rsidR="00570AD6" w:rsidRDefault="00570AD6" w:rsidP="00FB3D8B">
      <w:pPr>
        <w:tabs>
          <w:tab w:val="left" w:pos="0"/>
          <w:tab w:val="left" w:pos="6285"/>
        </w:tabs>
        <w:jc w:val="center"/>
        <w:rPr>
          <w:szCs w:val="21"/>
        </w:rPr>
      </w:pPr>
    </w:p>
    <w:p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FC76DD">
        <w:rPr>
          <w:b/>
        </w:rPr>
        <w:t>diciembre</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90460C" w:rsidRPr="0090460C" w:rsidTr="0090460C">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90460C" w:rsidRPr="0090460C" w:rsidRDefault="0090460C" w:rsidP="0090460C">
            <w:pPr>
              <w:spacing w:after="0" w:line="240" w:lineRule="auto"/>
              <w:jc w:val="center"/>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 xml:space="preserve">MÁQUINAS DE AZAR: Montos Apostados y Premios Ganados ($ </w:t>
            </w:r>
            <w:proofErr w:type="gramStart"/>
            <w:r w:rsidR="00FC76DD" w:rsidRPr="0090460C">
              <w:rPr>
                <w:rFonts w:ascii="Calibri" w:eastAsia="Times New Roman" w:hAnsi="Calibri" w:cs="Calibri"/>
                <w:b/>
                <w:bCs/>
                <w:color w:val="FFFFFF"/>
                <w:sz w:val="18"/>
                <w:szCs w:val="18"/>
                <w:lang w:eastAsia="es-CL"/>
              </w:rPr>
              <w:t xml:space="preserve">Millones)  </w:t>
            </w:r>
            <w:r w:rsidRPr="0090460C">
              <w:rPr>
                <w:rFonts w:ascii="Calibri" w:eastAsia="Times New Roman" w:hAnsi="Calibri" w:cs="Calibri"/>
                <w:b/>
                <w:bCs/>
                <w:color w:val="FFFFFF"/>
                <w:sz w:val="18"/>
                <w:szCs w:val="18"/>
                <w:lang w:eastAsia="es-CL"/>
              </w:rPr>
              <w:t xml:space="preserve"> </w:t>
            </w:r>
            <w:proofErr w:type="gramEnd"/>
            <w:r w:rsidRPr="0090460C">
              <w:rPr>
                <w:rFonts w:ascii="Calibri" w:eastAsia="Times New Roman" w:hAnsi="Calibri" w:cs="Calibri"/>
                <w:b/>
                <w:bCs/>
                <w:color w:val="FFFFFF"/>
                <w:sz w:val="18"/>
                <w:szCs w:val="18"/>
                <w:lang w:eastAsia="es-CL"/>
              </w:rPr>
              <w:t xml:space="preserve">                                                                                                   Diciembre 2017 ($ Millones)</w:t>
            </w:r>
          </w:p>
        </w:tc>
      </w:tr>
      <w:tr w:rsidR="0090460C" w:rsidRPr="0090460C" w:rsidTr="0090460C">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rsidR="0090460C" w:rsidRPr="0090460C" w:rsidRDefault="0090460C" w:rsidP="0090460C">
            <w:pPr>
              <w:spacing w:after="0" w:line="240" w:lineRule="auto"/>
              <w:jc w:val="center"/>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rsidR="0090460C" w:rsidRPr="0090460C" w:rsidRDefault="0090460C" w:rsidP="0090460C">
            <w:pPr>
              <w:spacing w:after="0" w:line="240" w:lineRule="auto"/>
              <w:jc w:val="center"/>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rsidR="0090460C" w:rsidRPr="0090460C" w:rsidRDefault="0090460C" w:rsidP="0090460C">
            <w:pPr>
              <w:spacing w:after="0" w:line="240" w:lineRule="auto"/>
              <w:jc w:val="center"/>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rsidR="0090460C" w:rsidRPr="0090460C" w:rsidRDefault="0090460C" w:rsidP="0090460C">
            <w:pPr>
              <w:spacing w:after="0" w:line="240" w:lineRule="auto"/>
              <w:jc w:val="center"/>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 xml:space="preserve">Porcentaje de retorno </w:t>
            </w:r>
          </w:p>
        </w:tc>
      </w:tr>
      <w:tr w:rsidR="0090460C" w:rsidRPr="0090460C" w:rsidTr="0090460C">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 xml:space="preserve">Casino </w:t>
            </w:r>
            <w:proofErr w:type="spellStart"/>
            <w:r w:rsidRPr="0090460C">
              <w:rPr>
                <w:rFonts w:ascii="Calibri" w:eastAsia="Times New Roman" w:hAnsi="Calibri" w:cs="Calibri"/>
                <w:b/>
                <w:bCs/>
                <w:color w:val="000000"/>
                <w:sz w:val="18"/>
                <w:szCs w:val="18"/>
                <w:lang w:eastAsia="es-CL"/>
              </w:rPr>
              <w:t>Luckia</w:t>
            </w:r>
            <w:proofErr w:type="spellEnd"/>
            <w:r w:rsidRPr="0090460C">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4.804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4.518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94,0%</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13.031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12.185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93,5%</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90460C" w:rsidRPr="0090460C" w:rsidRDefault="0090460C" w:rsidP="0090460C">
            <w:pPr>
              <w:spacing w:after="0" w:line="240" w:lineRule="auto"/>
              <w:jc w:val="left"/>
              <w:rPr>
                <w:rFonts w:ascii="Calibri" w:eastAsia="Times New Roman" w:hAnsi="Calibri" w:cs="Calibri"/>
                <w:b/>
                <w:bCs/>
                <w:sz w:val="18"/>
                <w:szCs w:val="18"/>
                <w:lang w:eastAsia="es-CL"/>
              </w:rPr>
            </w:pPr>
            <w:proofErr w:type="spellStart"/>
            <w:r w:rsidRPr="0090460C">
              <w:rPr>
                <w:rFonts w:ascii="Calibri" w:eastAsia="Times New Roman" w:hAnsi="Calibri" w:cs="Calibri"/>
                <w:b/>
                <w:bCs/>
                <w:sz w:val="18"/>
                <w:szCs w:val="18"/>
                <w:lang w:eastAsia="es-CL"/>
              </w:rPr>
              <w:t>Enjoy</w:t>
            </w:r>
            <w:proofErr w:type="spellEnd"/>
            <w:r w:rsidRPr="0090460C">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25.925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24.019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92,6%</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proofErr w:type="spellStart"/>
            <w:r w:rsidRPr="0090460C">
              <w:rPr>
                <w:rFonts w:ascii="Calibri" w:eastAsia="Times New Roman" w:hAnsi="Calibri" w:cs="Calibri"/>
                <w:b/>
                <w:bCs/>
                <w:color w:val="000000"/>
                <w:sz w:val="18"/>
                <w:szCs w:val="18"/>
                <w:lang w:eastAsia="es-CL"/>
              </w:rPr>
              <w:t>Antay</w:t>
            </w:r>
            <w:proofErr w:type="spellEnd"/>
            <w:r w:rsidRPr="0090460C">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13.672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12.793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93,6%</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4.231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4.015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94,9%</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9.225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8.631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93,6%</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40.657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38.374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94,4%</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proofErr w:type="spellStart"/>
            <w:r w:rsidRPr="0090460C">
              <w:rPr>
                <w:rFonts w:ascii="Calibri" w:eastAsia="Times New Roman" w:hAnsi="Calibri" w:cs="Calibri"/>
                <w:b/>
                <w:bCs/>
                <w:color w:val="000000"/>
                <w:sz w:val="18"/>
                <w:szCs w:val="18"/>
                <w:lang w:eastAsia="es-CL"/>
              </w:rPr>
              <w:t>Sun</w:t>
            </w:r>
            <w:proofErr w:type="spellEnd"/>
            <w:r w:rsidRPr="0090460C">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92.001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87.187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94,8%</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5.538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5.126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92,6%</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12.270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11.467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93,5%</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51.898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48.526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93,5%</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 xml:space="preserve">Casino Gran Los </w:t>
            </w:r>
            <w:r w:rsidR="00FC76DD" w:rsidRPr="0090460C">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5.083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4.742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93,3%</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90460C" w:rsidRPr="0090460C" w:rsidRDefault="0090460C" w:rsidP="0090460C">
            <w:pPr>
              <w:spacing w:after="0" w:line="240" w:lineRule="auto"/>
              <w:jc w:val="left"/>
              <w:rPr>
                <w:rFonts w:ascii="Calibri" w:eastAsia="Times New Roman" w:hAnsi="Calibri" w:cs="Calibri"/>
                <w:b/>
                <w:bCs/>
                <w:sz w:val="18"/>
                <w:szCs w:val="18"/>
                <w:lang w:eastAsia="es-CL"/>
              </w:rPr>
            </w:pPr>
            <w:r w:rsidRPr="0090460C">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27.564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25.917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94,0%</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15.712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14.730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93,7%</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11.236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10.552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93,9%</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proofErr w:type="spellStart"/>
            <w:r w:rsidRPr="0090460C">
              <w:rPr>
                <w:rFonts w:ascii="Calibri" w:eastAsia="Times New Roman" w:hAnsi="Calibri" w:cs="Calibri"/>
                <w:b/>
                <w:bCs/>
                <w:color w:val="000000"/>
                <w:sz w:val="18"/>
                <w:szCs w:val="18"/>
                <w:lang w:eastAsia="es-CL"/>
              </w:rPr>
              <w:t>Enjoy</w:t>
            </w:r>
            <w:proofErr w:type="spellEnd"/>
            <w:r w:rsidRPr="0090460C">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3.702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3.441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93,0%</w:t>
            </w:r>
          </w:p>
        </w:tc>
      </w:tr>
      <w:tr w:rsidR="0090460C" w:rsidRPr="0090460C" w:rsidTr="0090460C">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6.333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5.912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93,4%</w:t>
            </w:r>
          </w:p>
        </w:tc>
      </w:tr>
      <w:tr w:rsidR="0090460C" w:rsidRPr="0090460C" w:rsidTr="0090460C">
        <w:trPr>
          <w:trHeight w:val="300"/>
        </w:trPr>
        <w:tc>
          <w:tcPr>
            <w:tcW w:w="2379" w:type="dxa"/>
            <w:tcBorders>
              <w:top w:val="nil"/>
              <w:left w:val="nil"/>
              <w:bottom w:val="nil"/>
              <w:right w:val="nil"/>
            </w:tcBorders>
            <w:shd w:val="clear" w:color="000000" w:fill="FFFFFF"/>
            <w:noWrap/>
            <w:vAlign w:val="bottom"/>
            <w:hideMark/>
          </w:tcPr>
          <w:p w:rsidR="0090460C" w:rsidRPr="0090460C" w:rsidRDefault="0090460C" w:rsidP="0090460C">
            <w:pPr>
              <w:spacing w:after="0" w:line="240" w:lineRule="auto"/>
              <w:jc w:val="left"/>
              <w:rPr>
                <w:rFonts w:ascii="Calibri" w:eastAsia="Times New Roman" w:hAnsi="Calibri" w:cs="Calibri"/>
                <w:b/>
                <w:bCs/>
                <w:color w:val="000000"/>
                <w:sz w:val="18"/>
                <w:szCs w:val="18"/>
                <w:lang w:eastAsia="es-CL"/>
              </w:rPr>
            </w:pPr>
            <w:r w:rsidRPr="0090460C">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21.447 </w:t>
            </w:r>
          </w:p>
        </w:tc>
        <w:tc>
          <w:tcPr>
            <w:tcW w:w="2528"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 xml:space="preserve">19.906 </w:t>
            </w:r>
          </w:p>
        </w:tc>
        <w:tc>
          <w:tcPr>
            <w:tcW w:w="1177" w:type="dxa"/>
            <w:tcBorders>
              <w:top w:val="nil"/>
              <w:left w:val="nil"/>
              <w:bottom w:val="single" w:sz="4" w:space="0" w:color="808080"/>
              <w:right w:val="single" w:sz="4" w:space="0" w:color="808080"/>
            </w:tcBorders>
            <w:shd w:val="clear" w:color="000000" w:fill="FFFFFF"/>
            <w:noWrap/>
            <w:vAlign w:val="bottom"/>
            <w:hideMark/>
          </w:tcPr>
          <w:p w:rsidR="0090460C" w:rsidRPr="0090460C" w:rsidRDefault="0090460C" w:rsidP="0090460C">
            <w:pPr>
              <w:spacing w:after="0" w:line="240" w:lineRule="auto"/>
              <w:jc w:val="right"/>
              <w:rPr>
                <w:rFonts w:ascii="Calibri" w:eastAsia="Times New Roman" w:hAnsi="Calibri" w:cs="Calibri"/>
                <w:sz w:val="18"/>
                <w:szCs w:val="18"/>
                <w:lang w:eastAsia="es-CL"/>
              </w:rPr>
            </w:pPr>
            <w:r w:rsidRPr="0090460C">
              <w:rPr>
                <w:rFonts w:ascii="Calibri" w:eastAsia="Times New Roman" w:hAnsi="Calibri" w:cs="Calibri"/>
                <w:sz w:val="18"/>
                <w:szCs w:val="18"/>
                <w:lang w:eastAsia="es-CL"/>
              </w:rPr>
              <w:t>92,8%</w:t>
            </w:r>
          </w:p>
        </w:tc>
      </w:tr>
      <w:tr w:rsidR="0090460C" w:rsidRPr="0090460C" w:rsidTr="0090460C">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rsidR="0090460C" w:rsidRPr="0090460C" w:rsidRDefault="0090460C" w:rsidP="0090460C">
            <w:pPr>
              <w:spacing w:after="0" w:line="240" w:lineRule="auto"/>
              <w:jc w:val="left"/>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rsidR="0090460C" w:rsidRPr="0090460C" w:rsidRDefault="0090460C" w:rsidP="0090460C">
            <w:pPr>
              <w:spacing w:after="0" w:line="240" w:lineRule="auto"/>
              <w:jc w:val="right"/>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 xml:space="preserve">364.329 </w:t>
            </w:r>
          </w:p>
        </w:tc>
        <w:tc>
          <w:tcPr>
            <w:tcW w:w="2528" w:type="dxa"/>
            <w:tcBorders>
              <w:top w:val="nil"/>
              <w:left w:val="nil"/>
              <w:bottom w:val="single" w:sz="4" w:space="0" w:color="808080"/>
              <w:right w:val="single" w:sz="4" w:space="0" w:color="808080"/>
            </w:tcBorders>
            <w:shd w:val="clear" w:color="000000" w:fill="1F497D"/>
            <w:noWrap/>
            <w:vAlign w:val="bottom"/>
            <w:hideMark/>
          </w:tcPr>
          <w:p w:rsidR="0090460C" w:rsidRPr="0090460C" w:rsidRDefault="0090460C" w:rsidP="0090460C">
            <w:pPr>
              <w:spacing w:after="0" w:line="240" w:lineRule="auto"/>
              <w:jc w:val="right"/>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 xml:space="preserve">342.041 </w:t>
            </w:r>
          </w:p>
        </w:tc>
        <w:tc>
          <w:tcPr>
            <w:tcW w:w="1177" w:type="dxa"/>
            <w:tcBorders>
              <w:top w:val="nil"/>
              <w:left w:val="nil"/>
              <w:bottom w:val="single" w:sz="4" w:space="0" w:color="808080"/>
              <w:right w:val="single" w:sz="4" w:space="0" w:color="808080"/>
            </w:tcBorders>
            <w:shd w:val="clear" w:color="000000" w:fill="1F497D"/>
            <w:noWrap/>
            <w:vAlign w:val="bottom"/>
            <w:hideMark/>
          </w:tcPr>
          <w:p w:rsidR="0090460C" w:rsidRPr="0090460C" w:rsidRDefault="0090460C" w:rsidP="0090460C">
            <w:pPr>
              <w:spacing w:after="0" w:line="240" w:lineRule="auto"/>
              <w:jc w:val="right"/>
              <w:rPr>
                <w:rFonts w:ascii="Calibri" w:eastAsia="Times New Roman" w:hAnsi="Calibri" w:cs="Calibri"/>
                <w:b/>
                <w:bCs/>
                <w:color w:val="FFFFFF"/>
                <w:sz w:val="18"/>
                <w:szCs w:val="18"/>
                <w:lang w:eastAsia="es-CL"/>
              </w:rPr>
            </w:pPr>
            <w:r w:rsidRPr="0090460C">
              <w:rPr>
                <w:rFonts w:ascii="Calibri" w:eastAsia="Times New Roman" w:hAnsi="Calibri" w:cs="Calibri"/>
                <w:b/>
                <w:bCs/>
                <w:color w:val="FFFFFF"/>
                <w:sz w:val="18"/>
                <w:szCs w:val="18"/>
                <w:lang w:eastAsia="es-CL"/>
              </w:rPr>
              <w:t>93,9%</w:t>
            </w:r>
          </w:p>
        </w:tc>
      </w:tr>
    </w:tbl>
    <w:p w:rsidR="00C742BA" w:rsidRDefault="00C742BA" w:rsidP="00C742BA">
      <w:pPr>
        <w:pStyle w:val="Prrafodelista"/>
        <w:tabs>
          <w:tab w:val="left" w:pos="0"/>
        </w:tabs>
        <w:ind w:left="0"/>
        <w:rPr>
          <w:rFonts w:ascii="Calibri" w:hAnsi="Calibri" w:cs="Calibri"/>
          <w:b/>
          <w:sz w:val="21"/>
          <w:szCs w:val="21"/>
        </w:rPr>
      </w:pPr>
    </w:p>
    <w:p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FC76DD">
        <w:rPr>
          <w:b/>
        </w:rPr>
        <w:t>diciembre</w:t>
      </w:r>
      <w:r w:rsidR="00C742BA" w:rsidRPr="00EA72CD">
        <w:rPr>
          <w:b/>
        </w:rPr>
        <w:t xml:space="preserve"> de</w:t>
      </w:r>
      <w:r w:rsidRPr="00EA72CD">
        <w:rPr>
          <w:b/>
        </w:rPr>
        <w:t xml:space="preserve"> 201</w:t>
      </w:r>
      <w:r w:rsidR="00C742BA" w:rsidRPr="00EA72CD">
        <w:rPr>
          <w:b/>
        </w:rPr>
        <w:t>7</w:t>
      </w:r>
    </w:p>
    <w:p w:rsidR="00FB3D8B" w:rsidRDefault="0090460C"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1B8959C7" wp14:editId="701158A1">
            <wp:extent cx="5879909" cy="1912439"/>
            <wp:effectExtent l="0" t="0" r="698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8158" cy="1931384"/>
                    </a:xfrm>
                    <a:prstGeom prst="rect">
                      <a:avLst/>
                    </a:prstGeom>
                    <a:noFill/>
                  </pic:spPr>
                </pic:pic>
              </a:graphicData>
            </a:graphic>
          </wp:inline>
        </w:drawing>
      </w:r>
    </w:p>
    <w:p w:rsidR="0090460C" w:rsidRDefault="0090460C" w:rsidP="00E0320F">
      <w:pPr>
        <w:tabs>
          <w:tab w:val="left" w:pos="0"/>
        </w:tabs>
        <w:spacing w:after="0" w:line="240" w:lineRule="auto"/>
        <w:rPr>
          <w:rFonts w:ascii="Calibri" w:hAnsi="Calibri" w:cs="Arial"/>
          <w:b/>
          <w:sz w:val="20"/>
          <w:szCs w:val="20"/>
        </w:rPr>
      </w:pPr>
    </w:p>
    <w:p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rsidR="00FB3D8B" w:rsidRDefault="00FB3D8B" w:rsidP="00E0320F">
      <w:pPr>
        <w:tabs>
          <w:tab w:val="left" w:pos="0"/>
        </w:tabs>
        <w:spacing w:after="0" w:line="240" w:lineRule="auto"/>
        <w:rPr>
          <w:rFonts w:ascii="Calibri" w:hAnsi="Calibri" w:cs="Arial"/>
          <w:b/>
          <w:sz w:val="20"/>
          <w:szCs w:val="20"/>
        </w:rPr>
      </w:pPr>
    </w:p>
    <w:p w:rsidR="00FB3D8B" w:rsidRDefault="00FB3D8B" w:rsidP="00E0320F">
      <w:pPr>
        <w:tabs>
          <w:tab w:val="left" w:pos="0"/>
        </w:tabs>
        <w:spacing w:after="0" w:line="240" w:lineRule="auto"/>
        <w:rPr>
          <w:rFonts w:ascii="Calibri" w:hAnsi="Calibri" w:cs="Arial"/>
          <w:b/>
          <w:sz w:val="20"/>
          <w:szCs w:val="20"/>
        </w:rPr>
      </w:pPr>
    </w:p>
    <w:p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C742BA">
        <w:rPr>
          <w:b/>
        </w:rPr>
        <w:t>7</w:t>
      </w:r>
    </w:p>
    <w:p w:rsidR="00FB3D8B" w:rsidRDefault="0090460C" w:rsidP="007C4E85">
      <w:pPr>
        <w:pStyle w:val="Prrafodelista"/>
        <w:tabs>
          <w:tab w:val="left" w:pos="0"/>
        </w:tabs>
        <w:ind w:left="0"/>
        <w:jc w:val="left"/>
        <w:rPr>
          <w:b/>
        </w:rPr>
      </w:pPr>
      <w:r>
        <w:rPr>
          <w:b/>
          <w:noProof/>
        </w:rPr>
        <w:drawing>
          <wp:inline distT="0" distB="0" distL="0" distR="0" wp14:anchorId="7AEB8D06" wp14:editId="496F9BA0">
            <wp:extent cx="5264725" cy="135394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91235" cy="1360767"/>
                    </a:xfrm>
                    <a:prstGeom prst="rect">
                      <a:avLst/>
                    </a:prstGeom>
                    <a:noFill/>
                  </pic:spPr>
                </pic:pic>
              </a:graphicData>
            </a:graphic>
          </wp:inline>
        </w:drawing>
      </w:r>
    </w:p>
    <w:p w:rsidR="00196290" w:rsidRDefault="00196290" w:rsidP="00FB3D8B">
      <w:pPr>
        <w:pStyle w:val="Prrafodelista"/>
        <w:tabs>
          <w:tab w:val="left" w:pos="0"/>
        </w:tabs>
        <w:ind w:left="0"/>
        <w:rPr>
          <w:b/>
        </w:rPr>
      </w:pPr>
    </w:p>
    <w:p w:rsidR="00885B46" w:rsidRPr="001E2D5F" w:rsidRDefault="00885B46" w:rsidP="00FB3D8B">
      <w:pPr>
        <w:pStyle w:val="Prrafodelista"/>
        <w:tabs>
          <w:tab w:val="left" w:pos="0"/>
        </w:tabs>
        <w:ind w:left="0"/>
        <w:rPr>
          <w:b/>
        </w:rP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w:t>
      </w:r>
      <w:r w:rsidR="00FC76DD">
        <w:rPr>
          <w:b/>
          <w:sz w:val="21"/>
          <w:szCs w:val="21"/>
        </w:rPr>
        <w:t>6</w:t>
      </w:r>
      <w:r w:rsidRPr="003D15B6">
        <w:rPr>
          <w:b/>
          <w:sz w:val="21"/>
          <w:szCs w:val="21"/>
        </w:rPr>
        <w:t>-201</w:t>
      </w:r>
      <w:r w:rsidR="00C742BA">
        <w:rPr>
          <w:b/>
          <w:sz w:val="21"/>
          <w:szCs w:val="21"/>
        </w:rPr>
        <w:t>7</w:t>
      </w:r>
    </w:p>
    <w:p w:rsidR="003B0C64" w:rsidRDefault="003B0C64" w:rsidP="003B0C64">
      <w:pPr>
        <w:pStyle w:val="Prrafodelista"/>
        <w:tabs>
          <w:tab w:val="left" w:pos="0"/>
          <w:tab w:val="left" w:pos="6285"/>
        </w:tabs>
        <w:ind w:left="0"/>
        <w:jc w:val="left"/>
        <w:rPr>
          <w:b/>
          <w:sz w:val="21"/>
          <w:szCs w:val="21"/>
        </w:rPr>
      </w:pPr>
    </w:p>
    <w:tbl>
      <w:tblPr>
        <w:tblW w:w="5000" w:type="pct"/>
        <w:jc w:val="center"/>
        <w:tblCellMar>
          <w:left w:w="70" w:type="dxa"/>
          <w:right w:w="70" w:type="dxa"/>
        </w:tblCellMar>
        <w:tblLook w:val="04A0" w:firstRow="1" w:lastRow="0" w:firstColumn="1" w:lastColumn="0" w:noHBand="0" w:noVBand="1"/>
      </w:tblPr>
      <w:tblGrid>
        <w:gridCol w:w="992"/>
        <w:gridCol w:w="536"/>
        <w:gridCol w:w="919"/>
        <w:gridCol w:w="762"/>
        <w:gridCol w:w="940"/>
        <w:gridCol w:w="560"/>
        <w:gridCol w:w="536"/>
        <w:gridCol w:w="536"/>
        <w:gridCol w:w="547"/>
        <w:gridCol w:w="547"/>
        <w:gridCol w:w="547"/>
        <w:gridCol w:w="536"/>
        <w:gridCol w:w="536"/>
      </w:tblGrid>
      <w:tr w:rsidR="003D6DD3" w:rsidRPr="00CA6263" w:rsidTr="00FC76DD">
        <w:trPr>
          <w:trHeight w:val="240"/>
          <w:jc w:val="center"/>
        </w:trPr>
        <w:tc>
          <w:tcPr>
            <w:tcW w:w="751" w:type="pct"/>
            <w:tcBorders>
              <w:top w:val="nil"/>
              <w:left w:val="nil"/>
              <w:bottom w:val="nil"/>
              <w:right w:val="nil"/>
            </w:tcBorders>
            <w:shd w:val="clear" w:color="auto" w:fill="auto"/>
            <w:noWrap/>
            <w:vAlign w:val="bottom"/>
            <w:hideMark/>
          </w:tcPr>
          <w:p w:rsidR="003D6DD3" w:rsidRPr="00CA6263" w:rsidRDefault="003D6DD3" w:rsidP="003D6DD3">
            <w:pPr>
              <w:spacing w:after="0" w:line="240" w:lineRule="auto"/>
              <w:jc w:val="left"/>
              <w:rPr>
                <w:rFonts w:ascii="Times New Roman" w:eastAsia="Times New Roman" w:hAnsi="Times New Roman" w:cs="Times New Roman"/>
                <w:sz w:val="24"/>
                <w:szCs w:val="24"/>
                <w:lang w:eastAsia="es-CL"/>
              </w:rPr>
            </w:pPr>
          </w:p>
        </w:tc>
        <w:tc>
          <w:tcPr>
            <w:tcW w:w="334"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345"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449"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375"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417"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404"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317"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c>
          <w:tcPr>
            <w:tcW w:w="291"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334"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334"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327" w:type="pct"/>
            <w:tcBorders>
              <w:top w:val="single" w:sz="8" w:space="0" w:color="auto"/>
              <w:left w:val="nil"/>
              <w:bottom w:val="single" w:sz="8" w:space="0" w:color="auto"/>
              <w:right w:val="single" w:sz="8" w:space="0" w:color="auto"/>
            </w:tcBorders>
            <w:shd w:val="clear" w:color="000000" w:fill="0F243E"/>
            <w:noWrap/>
            <w:vAlign w:val="bottom"/>
            <w:hideMark/>
          </w:tcPr>
          <w:p w:rsidR="003D6DD3" w:rsidRPr="007C4E85" w:rsidRDefault="003D6DD3" w:rsidP="003D6DD3">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r>
      <w:tr w:rsidR="00DA04BC" w:rsidRPr="00CA6263" w:rsidTr="00FC76DD">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rsidTr="00FC76DD">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3D6DD3" w:rsidRPr="00CA6263" w:rsidTr="00FC76DD">
        <w:trPr>
          <w:trHeight w:val="551"/>
          <w:jc w:val="center"/>
        </w:trPr>
        <w:tc>
          <w:tcPr>
            <w:tcW w:w="751" w:type="pct"/>
            <w:tcBorders>
              <w:top w:val="nil"/>
              <w:left w:val="single" w:sz="8" w:space="0" w:color="auto"/>
              <w:bottom w:val="single" w:sz="8" w:space="0" w:color="auto"/>
              <w:right w:val="single" w:sz="8" w:space="0" w:color="auto"/>
            </w:tcBorders>
            <w:shd w:val="clear" w:color="000000" w:fill="DCE6F1"/>
            <w:noWrap/>
            <w:vAlign w:val="bottom"/>
            <w:hideMark/>
          </w:tcPr>
          <w:p w:rsidR="003D6DD3" w:rsidRPr="00A27E18" w:rsidRDefault="003D6DD3" w:rsidP="003D6DD3">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enero 2016-diciembre 2016 ($ millones)</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14.721 </w:t>
            </w:r>
          </w:p>
        </w:tc>
        <w:tc>
          <w:tcPr>
            <w:tcW w:w="34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16.670 </w:t>
            </w:r>
          </w:p>
        </w:tc>
        <w:tc>
          <w:tcPr>
            <w:tcW w:w="449"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12.584 </w:t>
            </w:r>
          </w:p>
        </w:tc>
        <w:tc>
          <w:tcPr>
            <w:tcW w:w="37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11.067 </w:t>
            </w:r>
          </w:p>
        </w:tc>
        <w:tc>
          <w:tcPr>
            <w:tcW w:w="4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11.083 </w:t>
            </w:r>
          </w:p>
        </w:tc>
        <w:tc>
          <w:tcPr>
            <w:tcW w:w="40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10.675 </w:t>
            </w:r>
          </w:p>
        </w:tc>
        <w:tc>
          <w:tcPr>
            <w:tcW w:w="3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12.648 </w:t>
            </w:r>
          </w:p>
        </w:tc>
        <w:tc>
          <w:tcPr>
            <w:tcW w:w="323"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11.041 </w:t>
            </w:r>
          </w:p>
        </w:tc>
        <w:tc>
          <w:tcPr>
            <w:tcW w:w="291"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11.455 </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11.961 </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10.105 </w:t>
            </w:r>
          </w:p>
        </w:tc>
        <w:tc>
          <w:tcPr>
            <w:tcW w:w="32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11.873 </w:t>
            </w:r>
          </w:p>
        </w:tc>
      </w:tr>
      <w:tr w:rsidR="003D6DD3" w:rsidRPr="00CA6263" w:rsidTr="00FC76DD">
        <w:trPr>
          <w:trHeight w:val="195"/>
          <w:jc w:val="center"/>
        </w:trPr>
        <w:tc>
          <w:tcPr>
            <w:tcW w:w="751" w:type="pct"/>
            <w:tcBorders>
              <w:top w:val="nil"/>
              <w:left w:val="single" w:sz="8" w:space="0" w:color="auto"/>
              <w:bottom w:val="single" w:sz="8" w:space="0" w:color="auto"/>
              <w:right w:val="single" w:sz="8" w:space="0" w:color="auto"/>
            </w:tcBorders>
            <w:shd w:val="clear" w:color="000000" w:fill="DCE6F1"/>
            <w:noWrap/>
            <w:vAlign w:val="bottom"/>
            <w:hideMark/>
          </w:tcPr>
          <w:p w:rsidR="003D6DD3" w:rsidRPr="00A27E18" w:rsidRDefault="003D6DD3" w:rsidP="003D6DD3">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enero 2017-diciembre 2017 ($ millones)</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15.041 </w:t>
            </w:r>
          </w:p>
        </w:tc>
        <w:tc>
          <w:tcPr>
            <w:tcW w:w="34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16.030 </w:t>
            </w:r>
          </w:p>
        </w:tc>
        <w:tc>
          <w:tcPr>
            <w:tcW w:w="449"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12.380 </w:t>
            </w:r>
          </w:p>
        </w:tc>
        <w:tc>
          <w:tcPr>
            <w:tcW w:w="37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11.705 </w:t>
            </w:r>
          </w:p>
        </w:tc>
        <w:tc>
          <w:tcPr>
            <w:tcW w:w="4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10.960 </w:t>
            </w:r>
          </w:p>
        </w:tc>
        <w:tc>
          <w:tcPr>
            <w:tcW w:w="40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10.906 </w:t>
            </w:r>
          </w:p>
        </w:tc>
        <w:tc>
          <w:tcPr>
            <w:tcW w:w="3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11.476 </w:t>
            </w:r>
          </w:p>
        </w:tc>
        <w:tc>
          <w:tcPr>
            <w:tcW w:w="323"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10.858 </w:t>
            </w:r>
          </w:p>
        </w:tc>
        <w:tc>
          <w:tcPr>
            <w:tcW w:w="291"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11.903 </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11.905 </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10.221 </w:t>
            </w:r>
          </w:p>
        </w:tc>
        <w:tc>
          <w:tcPr>
            <w:tcW w:w="327"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11.660 </w:t>
            </w:r>
          </w:p>
        </w:tc>
      </w:tr>
      <w:tr w:rsidR="003D6DD3" w:rsidRPr="00CA6263" w:rsidTr="00FC76DD">
        <w:trPr>
          <w:trHeight w:val="195"/>
          <w:jc w:val="center"/>
        </w:trPr>
        <w:tc>
          <w:tcPr>
            <w:tcW w:w="751" w:type="pct"/>
            <w:tcBorders>
              <w:top w:val="nil"/>
              <w:left w:val="single" w:sz="8" w:space="0" w:color="auto"/>
              <w:bottom w:val="single" w:sz="8" w:space="0" w:color="auto"/>
              <w:right w:val="single" w:sz="8" w:space="0" w:color="auto"/>
            </w:tcBorders>
            <w:shd w:val="clear" w:color="000000" w:fill="DCE6F1"/>
            <w:noWrap/>
            <w:vAlign w:val="bottom"/>
            <w:hideMark/>
          </w:tcPr>
          <w:p w:rsidR="003D6DD3" w:rsidRPr="00A27E18" w:rsidRDefault="003D6DD3" w:rsidP="003D6DD3">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2,2%</w:t>
            </w:r>
          </w:p>
        </w:tc>
        <w:tc>
          <w:tcPr>
            <w:tcW w:w="34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-3,8%</w:t>
            </w:r>
          </w:p>
        </w:tc>
        <w:tc>
          <w:tcPr>
            <w:tcW w:w="449"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-1,6%</w:t>
            </w:r>
          </w:p>
        </w:tc>
        <w:tc>
          <w:tcPr>
            <w:tcW w:w="37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5,8%</w:t>
            </w:r>
          </w:p>
        </w:tc>
        <w:tc>
          <w:tcPr>
            <w:tcW w:w="4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-1,1%</w:t>
            </w:r>
          </w:p>
        </w:tc>
        <w:tc>
          <w:tcPr>
            <w:tcW w:w="40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2,2%</w:t>
            </w:r>
          </w:p>
        </w:tc>
        <w:tc>
          <w:tcPr>
            <w:tcW w:w="3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-9,3%</w:t>
            </w:r>
          </w:p>
        </w:tc>
        <w:tc>
          <w:tcPr>
            <w:tcW w:w="323"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-1,7%</w:t>
            </w:r>
          </w:p>
        </w:tc>
        <w:tc>
          <w:tcPr>
            <w:tcW w:w="291"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3,9%</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-0,5%</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1,1%</w:t>
            </w:r>
          </w:p>
        </w:tc>
        <w:tc>
          <w:tcPr>
            <w:tcW w:w="327"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-1,8%</w:t>
            </w:r>
          </w:p>
        </w:tc>
      </w:tr>
      <w:tr w:rsidR="00DA04BC" w:rsidRPr="00CA6263" w:rsidTr="00FC76DD">
        <w:trPr>
          <w:trHeight w:val="195"/>
          <w:jc w:val="center"/>
        </w:trPr>
        <w:tc>
          <w:tcPr>
            <w:tcW w:w="4673"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327" w:type="pct"/>
            <w:tcBorders>
              <w:top w:val="nil"/>
              <w:left w:val="nil"/>
              <w:bottom w:val="single" w:sz="8" w:space="0" w:color="auto"/>
              <w:right w:val="single" w:sz="8" w:space="0" w:color="auto"/>
            </w:tcBorders>
            <w:shd w:val="clear" w:color="000000" w:fill="DCE6F1"/>
            <w:noWrap/>
            <w:vAlign w:val="bottom"/>
            <w:hideMark/>
          </w:tcPr>
          <w:p w:rsidR="00DA04BC" w:rsidRPr="00C708EE" w:rsidRDefault="003D6DD3"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0</w:t>
            </w:r>
            <w:r w:rsidR="00DA04BC">
              <w:rPr>
                <w:rFonts w:ascii="Calibri" w:eastAsia="Times New Roman" w:hAnsi="Calibri" w:cs="Times New Roman"/>
                <w:color w:val="000000"/>
                <w:sz w:val="12"/>
                <w:szCs w:val="12"/>
                <w:lang w:eastAsia="es-CL"/>
              </w:rPr>
              <w:t>,</w:t>
            </w:r>
            <w:r w:rsidR="00885B46">
              <w:rPr>
                <w:rFonts w:ascii="Calibri" w:eastAsia="Times New Roman" w:hAnsi="Calibri" w:cs="Times New Roman"/>
                <w:color w:val="000000"/>
                <w:sz w:val="12"/>
                <w:szCs w:val="12"/>
                <w:lang w:eastAsia="es-CL"/>
              </w:rPr>
              <w:t>6</w:t>
            </w:r>
            <w:r w:rsidR="00DA04BC" w:rsidRPr="007D2B56">
              <w:rPr>
                <w:rFonts w:ascii="Calibri" w:eastAsia="Times New Roman" w:hAnsi="Calibri" w:cs="Times New Roman"/>
                <w:color w:val="000000"/>
                <w:sz w:val="12"/>
                <w:szCs w:val="12"/>
                <w:lang w:eastAsia="es-CL"/>
              </w:rPr>
              <w:t>%</w:t>
            </w:r>
          </w:p>
        </w:tc>
      </w:tr>
      <w:tr w:rsidR="00DA04BC" w:rsidRPr="00CA6263" w:rsidTr="00FC76DD">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rsidTr="00FC76DD">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3D6DD3" w:rsidRPr="00CA6263" w:rsidTr="00FC76DD">
        <w:trPr>
          <w:trHeight w:val="195"/>
          <w:jc w:val="center"/>
        </w:trPr>
        <w:tc>
          <w:tcPr>
            <w:tcW w:w="751" w:type="pct"/>
            <w:tcBorders>
              <w:top w:val="nil"/>
              <w:left w:val="single" w:sz="8" w:space="0" w:color="auto"/>
              <w:bottom w:val="single" w:sz="8" w:space="0" w:color="auto"/>
              <w:right w:val="single" w:sz="8" w:space="0" w:color="auto"/>
            </w:tcBorders>
            <w:shd w:val="clear" w:color="000000" w:fill="DCE6F1"/>
            <w:noWrap/>
            <w:vAlign w:val="bottom"/>
            <w:hideMark/>
          </w:tcPr>
          <w:p w:rsidR="003D6DD3" w:rsidRPr="00A27E18" w:rsidRDefault="003D6DD3" w:rsidP="003D6DD3">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enero 2016-diciembre 2016 (UF)</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574.370 </w:t>
            </w:r>
          </w:p>
        </w:tc>
        <w:tc>
          <w:tcPr>
            <w:tcW w:w="34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648.215 </w:t>
            </w:r>
          </w:p>
        </w:tc>
        <w:tc>
          <w:tcPr>
            <w:tcW w:w="449"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487.540 </w:t>
            </w:r>
          </w:p>
        </w:tc>
        <w:tc>
          <w:tcPr>
            <w:tcW w:w="37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427.191 </w:t>
            </w:r>
          </w:p>
        </w:tc>
        <w:tc>
          <w:tcPr>
            <w:tcW w:w="4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426.369 </w:t>
            </w:r>
          </w:p>
        </w:tc>
        <w:tc>
          <w:tcPr>
            <w:tcW w:w="40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409.746 </w:t>
            </w:r>
          </w:p>
        </w:tc>
        <w:tc>
          <w:tcPr>
            <w:tcW w:w="3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483.818 </w:t>
            </w:r>
          </w:p>
        </w:tc>
        <w:tc>
          <w:tcPr>
            <w:tcW w:w="323"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421.255 </w:t>
            </w:r>
          </w:p>
        </w:tc>
        <w:tc>
          <w:tcPr>
            <w:tcW w:w="291"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436.796 </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455.442 </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384.031 </w:t>
            </w:r>
          </w:p>
        </w:tc>
        <w:tc>
          <w:tcPr>
            <w:tcW w:w="327"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450.629 </w:t>
            </w:r>
          </w:p>
        </w:tc>
      </w:tr>
      <w:tr w:rsidR="003D6DD3" w:rsidRPr="00CA6263" w:rsidTr="00FC76DD">
        <w:trPr>
          <w:trHeight w:val="195"/>
          <w:jc w:val="center"/>
        </w:trPr>
        <w:tc>
          <w:tcPr>
            <w:tcW w:w="751" w:type="pct"/>
            <w:tcBorders>
              <w:top w:val="nil"/>
              <w:left w:val="single" w:sz="8" w:space="0" w:color="auto"/>
              <w:bottom w:val="single" w:sz="8" w:space="0" w:color="auto"/>
              <w:right w:val="single" w:sz="8" w:space="0" w:color="auto"/>
            </w:tcBorders>
            <w:shd w:val="clear" w:color="000000" w:fill="DCE6F1"/>
            <w:noWrap/>
            <w:vAlign w:val="bottom"/>
            <w:hideMark/>
          </w:tcPr>
          <w:p w:rsidR="003D6DD3" w:rsidRPr="00A27E18" w:rsidRDefault="003D6DD3" w:rsidP="003D6DD3">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enero 2017-diciembre 2017 (UF)</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559.331 </w:t>
            </w:r>
          </w:p>
        </w:tc>
        <w:tc>
          <w:tcPr>
            <w:tcW w:w="34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631.644 </w:t>
            </w:r>
          </w:p>
        </w:tc>
        <w:tc>
          <w:tcPr>
            <w:tcW w:w="449"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475.387 </w:t>
            </w:r>
          </w:p>
        </w:tc>
        <w:tc>
          <w:tcPr>
            <w:tcW w:w="37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416.662 </w:t>
            </w:r>
          </w:p>
        </w:tc>
        <w:tc>
          <w:tcPr>
            <w:tcW w:w="4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416.156 </w:t>
            </w:r>
          </w:p>
        </w:tc>
        <w:tc>
          <w:tcPr>
            <w:tcW w:w="40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400.326 </w:t>
            </w:r>
          </w:p>
        </w:tc>
        <w:tc>
          <w:tcPr>
            <w:tcW w:w="3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475.529 </w:t>
            </w:r>
          </w:p>
        </w:tc>
        <w:tc>
          <w:tcPr>
            <w:tcW w:w="323"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415.001 </w:t>
            </w:r>
          </w:p>
        </w:tc>
        <w:tc>
          <w:tcPr>
            <w:tcW w:w="291"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429.709 </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449.057 </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378.032 </w:t>
            </w:r>
          </w:p>
        </w:tc>
        <w:tc>
          <w:tcPr>
            <w:tcW w:w="327"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 xml:space="preserve">                     443.059 </w:t>
            </w:r>
          </w:p>
        </w:tc>
      </w:tr>
      <w:tr w:rsidR="003D6DD3" w:rsidRPr="00CA6263" w:rsidTr="00FC76DD">
        <w:trPr>
          <w:trHeight w:val="195"/>
          <w:jc w:val="center"/>
        </w:trPr>
        <w:tc>
          <w:tcPr>
            <w:tcW w:w="751" w:type="pct"/>
            <w:tcBorders>
              <w:top w:val="nil"/>
              <w:left w:val="single" w:sz="8" w:space="0" w:color="auto"/>
              <w:bottom w:val="single" w:sz="8" w:space="0" w:color="auto"/>
              <w:right w:val="single" w:sz="8" w:space="0" w:color="auto"/>
            </w:tcBorders>
            <w:shd w:val="clear" w:color="000000" w:fill="DCE6F1"/>
            <w:noWrap/>
            <w:vAlign w:val="bottom"/>
            <w:hideMark/>
          </w:tcPr>
          <w:p w:rsidR="003D6DD3" w:rsidRPr="00A27E18" w:rsidRDefault="003D6DD3" w:rsidP="003D6DD3">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Real</w:t>
            </w:r>
          </w:p>
        </w:tc>
        <w:tc>
          <w:tcPr>
            <w:tcW w:w="33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-2,6%</w:t>
            </w:r>
          </w:p>
        </w:tc>
        <w:tc>
          <w:tcPr>
            <w:tcW w:w="34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-2,6%</w:t>
            </w:r>
          </w:p>
        </w:tc>
        <w:tc>
          <w:tcPr>
            <w:tcW w:w="449"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-2,5%</w:t>
            </w:r>
          </w:p>
        </w:tc>
        <w:tc>
          <w:tcPr>
            <w:tcW w:w="375"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-2,5%</w:t>
            </w:r>
          </w:p>
        </w:tc>
        <w:tc>
          <w:tcPr>
            <w:tcW w:w="4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-2,4%</w:t>
            </w:r>
          </w:p>
        </w:tc>
        <w:tc>
          <w:tcPr>
            <w:tcW w:w="404"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-2,3%</w:t>
            </w:r>
          </w:p>
        </w:tc>
        <w:tc>
          <w:tcPr>
            <w:tcW w:w="317"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-1,7%</w:t>
            </w:r>
          </w:p>
        </w:tc>
        <w:tc>
          <w:tcPr>
            <w:tcW w:w="323" w:type="pct"/>
            <w:tcBorders>
              <w:top w:val="nil"/>
              <w:left w:val="nil"/>
              <w:bottom w:val="single" w:sz="8" w:space="0" w:color="auto"/>
              <w:right w:val="single" w:sz="8" w:space="0" w:color="auto"/>
            </w:tcBorders>
            <w:shd w:val="clear" w:color="000000" w:fill="DCE6F1"/>
            <w:noWrap/>
            <w:vAlign w:val="bottom"/>
            <w:hideMark/>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-1,5%</w:t>
            </w:r>
          </w:p>
        </w:tc>
        <w:tc>
          <w:tcPr>
            <w:tcW w:w="291"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-1,6%</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-1,4%</w:t>
            </w:r>
          </w:p>
        </w:tc>
        <w:tc>
          <w:tcPr>
            <w:tcW w:w="334"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-1,6%</w:t>
            </w:r>
          </w:p>
        </w:tc>
        <w:tc>
          <w:tcPr>
            <w:tcW w:w="327" w:type="pct"/>
            <w:tcBorders>
              <w:top w:val="nil"/>
              <w:left w:val="nil"/>
              <w:bottom w:val="single" w:sz="8" w:space="0" w:color="auto"/>
              <w:right w:val="single" w:sz="8" w:space="0" w:color="auto"/>
            </w:tcBorders>
            <w:shd w:val="clear" w:color="000000" w:fill="DCE6F1"/>
            <w:noWrap/>
            <w:vAlign w:val="bottom"/>
          </w:tcPr>
          <w:p w:rsidR="003D6DD3" w:rsidRPr="00A27E18" w:rsidRDefault="003D6DD3" w:rsidP="003D6DD3">
            <w:pPr>
              <w:jc w:val="center"/>
              <w:rPr>
                <w:rFonts w:ascii="Calibri" w:hAnsi="Calibri"/>
                <w:color w:val="000000"/>
                <w:sz w:val="10"/>
                <w:szCs w:val="12"/>
              </w:rPr>
            </w:pPr>
            <w:r>
              <w:rPr>
                <w:rFonts w:ascii="Calibri" w:hAnsi="Calibri" w:cs="Calibri"/>
                <w:color w:val="000000"/>
                <w:sz w:val="12"/>
                <w:szCs w:val="12"/>
              </w:rPr>
              <w:t>-1,7%</w:t>
            </w:r>
          </w:p>
        </w:tc>
      </w:tr>
      <w:tr w:rsidR="00DA04BC" w:rsidRPr="00CA6263" w:rsidTr="00FC76DD">
        <w:trPr>
          <w:trHeight w:val="195"/>
          <w:jc w:val="center"/>
        </w:trPr>
        <w:tc>
          <w:tcPr>
            <w:tcW w:w="4673"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Real (Anual)</w:t>
            </w:r>
          </w:p>
        </w:tc>
        <w:tc>
          <w:tcPr>
            <w:tcW w:w="327" w:type="pct"/>
            <w:tcBorders>
              <w:top w:val="nil"/>
              <w:left w:val="nil"/>
              <w:bottom w:val="single" w:sz="8" w:space="0" w:color="auto"/>
              <w:right w:val="single" w:sz="8" w:space="0" w:color="auto"/>
            </w:tcBorders>
            <w:shd w:val="clear" w:color="000000" w:fill="DCE6F1"/>
            <w:noWrap/>
            <w:vAlign w:val="bottom"/>
            <w:hideMark/>
          </w:tcPr>
          <w:p w:rsidR="00DA04BC" w:rsidRPr="00C708EE" w:rsidRDefault="00DA04BC"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-2,</w:t>
            </w:r>
            <w:r w:rsidR="003D6DD3">
              <w:rPr>
                <w:rFonts w:ascii="Calibri" w:eastAsia="Times New Roman" w:hAnsi="Calibri" w:cs="Times New Roman"/>
                <w:color w:val="000000"/>
                <w:sz w:val="10"/>
                <w:szCs w:val="12"/>
                <w:lang w:eastAsia="es-CL"/>
              </w:rPr>
              <w:t>1</w:t>
            </w:r>
            <w:r w:rsidRPr="00C708EE">
              <w:rPr>
                <w:rFonts w:ascii="Calibri" w:eastAsia="Times New Roman" w:hAnsi="Calibri" w:cs="Times New Roman"/>
                <w:color w:val="000000"/>
                <w:sz w:val="10"/>
                <w:szCs w:val="12"/>
                <w:lang w:eastAsia="es-CL"/>
              </w:rPr>
              <w:t>%</w:t>
            </w:r>
          </w:p>
        </w:tc>
      </w:tr>
    </w:tbl>
    <w:p w:rsidR="00C87255" w:rsidRDefault="00C87255" w:rsidP="00FB3D8B">
      <w:pPr>
        <w:pStyle w:val="Prrafodelista"/>
        <w:tabs>
          <w:tab w:val="left" w:pos="0"/>
          <w:tab w:val="left" w:pos="6285"/>
        </w:tabs>
        <w:ind w:left="0"/>
      </w:pPr>
    </w:p>
    <w:p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FC76DD">
        <w:rPr>
          <w:b/>
        </w:rPr>
        <w:t>noviembre</w:t>
      </w:r>
      <w:r w:rsidR="00D2557C">
        <w:rPr>
          <w:b/>
        </w:rPr>
        <w:t xml:space="preserve"> </w:t>
      </w:r>
      <w:r w:rsidRPr="00E80F2B">
        <w:rPr>
          <w:b/>
        </w:rPr>
        <w:t>-</w:t>
      </w:r>
      <w:r>
        <w:rPr>
          <w:b/>
        </w:rPr>
        <w:t xml:space="preserve"> </w:t>
      </w:r>
      <w:r w:rsidR="00FC76DD">
        <w:rPr>
          <w:b/>
        </w:rPr>
        <w:t>diciembre</w:t>
      </w:r>
      <w:r w:rsidRPr="00E80F2B">
        <w:rPr>
          <w:b/>
        </w:rPr>
        <w:t xml:space="preserve"> 201</w:t>
      </w:r>
      <w:r w:rsidR="00C742BA">
        <w:rPr>
          <w:b/>
        </w:rPr>
        <w:t>7</w:t>
      </w:r>
    </w:p>
    <w:p w:rsidR="00FB3D8B" w:rsidRDefault="003D6DD3" w:rsidP="00DB1263">
      <w:pPr>
        <w:pStyle w:val="Prrafodelista"/>
        <w:tabs>
          <w:tab w:val="left" w:pos="0"/>
          <w:tab w:val="left" w:pos="360"/>
          <w:tab w:val="left" w:pos="6285"/>
        </w:tabs>
        <w:ind w:left="0" w:hanging="142"/>
        <w:jc w:val="center"/>
        <w:rPr>
          <w:b/>
        </w:rPr>
      </w:pPr>
      <w:r>
        <w:rPr>
          <w:b/>
          <w:noProof/>
        </w:rPr>
        <w:drawing>
          <wp:inline distT="0" distB="0" distL="0" distR="0" wp14:anchorId="1A3CAC8E" wp14:editId="02E07798">
            <wp:extent cx="4155034" cy="1975787"/>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749" cy="1993246"/>
                    </a:xfrm>
                    <a:prstGeom prst="rect">
                      <a:avLst/>
                    </a:prstGeom>
                    <a:noFill/>
                  </pic:spPr>
                </pic:pic>
              </a:graphicData>
            </a:graphic>
          </wp:inline>
        </w:drawing>
      </w:r>
    </w:p>
    <w:p w:rsidR="00196290" w:rsidRDefault="00196290" w:rsidP="00E0320F">
      <w:pPr>
        <w:tabs>
          <w:tab w:val="left" w:pos="0"/>
        </w:tabs>
        <w:spacing w:after="0" w:line="240" w:lineRule="auto"/>
        <w:rPr>
          <w:rFonts w:ascii="Calibri" w:hAnsi="Calibri" w:cs="Arial"/>
          <w:b/>
          <w:sz w:val="20"/>
          <w:szCs w:val="20"/>
        </w:rPr>
      </w:pPr>
    </w:p>
    <w:p w:rsidR="00196290" w:rsidRDefault="00196290" w:rsidP="00E0320F">
      <w:pPr>
        <w:tabs>
          <w:tab w:val="left" w:pos="0"/>
        </w:tabs>
        <w:spacing w:after="0" w:line="240" w:lineRule="auto"/>
        <w:rPr>
          <w:rFonts w:ascii="Calibri" w:hAnsi="Calibri" w:cs="Arial"/>
          <w:b/>
          <w:sz w:val="20"/>
          <w:szCs w:val="20"/>
        </w:rPr>
      </w:pPr>
    </w:p>
    <w:p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rsid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2C1" w:rsidRDefault="001072C1" w:rsidP="00FD382C">
      <w:r>
        <w:separator/>
      </w:r>
    </w:p>
  </w:endnote>
  <w:endnote w:type="continuationSeparator" w:id="0">
    <w:p w:rsidR="001072C1" w:rsidRDefault="001072C1" w:rsidP="00FD382C">
      <w:r>
        <w:continuationSeparator/>
      </w:r>
    </w:p>
  </w:endnote>
  <w:endnote w:type="continuationNotice" w:id="1">
    <w:p w:rsidR="001072C1" w:rsidRDefault="00107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5B" w:rsidRDefault="008D6A5B">
    <w:pPr>
      <w:pStyle w:val="Piedepgina"/>
    </w:pPr>
  </w:p>
  <w:p w:rsidR="008D6A5B" w:rsidRDefault="008D6A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2C1" w:rsidRDefault="001072C1" w:rsidP="00FD382C">
      <w:r>
        <w:separator/>
      </w:r>
    </w:p>
  </w:footnote>
  <w:footnote w:type="continuationSeparator" w:id="0">
    <w:p w:rsidR="001072C1" w:rsidRDefault="001072C1" w:rsidP="00FD382C">
      <w:r>
        <w:continuationSeparator/>
      </w:r>
    </w:p>
  </w:footnote>
  <w:footnote w:type="continuationNotice" w:id="1">
    <w:p w:rsidR="001072C1" w:rsidRDefault="001072C1">
      <w:pPr>
        <w:spacing w:after="0" w:line="240" w:lineRule="auto"/>
      </w:pPr>
    </w:p>
  </w:footnote>
  <w:footnote w:id="2">
    <w:p w:rsidR="008D6A5B" w:rsidRPr="0004531A" w:rsidRDefault="008D6A5B"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3">
    <w:p w:rsidR="008D6A5B" w:rsidRPr="00FD382C" w:rsidRDefault="008D6A5B"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4">
    <w:p w:rsidR="008D6A5B" w:rsidRDefault="008D6A5B"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diciembre en los años 2016 y 2017.</w:t>
      </w:r>
    </w:p>
  </w:footnote>
  <w:footnote w:id="5">
    <w:p w:rsidR="008D6A5B" w:rsidRDefault="008D6A5B" w:rsidP="00A1369B">
      <w:pPr>
        <w:pStyle w:val="Textonotapie"/>
      </w:pPr>
      <w:r>
        <w:rPr>
          <w:rStyle w:val="Refdenotaalpie"/>
        </w:rPr>
        <w:footnoteRef/>
      </w:r>
      <w:r>
        <w:t xml:space="preserve"> </w:t>
      </w:r>
      <w:r>
        <w:rPr>
          <w:lang w:val="es-ES"/>
        </w:rPr>
        <w:t>Corresponde al crecimiento de los ingresos brutos acumulados, considerando el periodo enero de 2016-diciembre de 2017, y se comparan con los ingresos acumulados del periodo enero de 2016-diciembre de 2016, corregido por la UF del último día del mes.</w:t>
      </w:r>
    </w:p>
  </w:footnote>
  <w:footnote w:id="6">
    <w:p w:rsidR="008D6A5B" w:rsidRPr="00FD382C" w:rsidRDefault="008D6A5B"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diciembre en los años 2016-2017.</w:t>
      </w:r>
    </w:p>
  </w:footnote>
  <w:footnote w:id="7">
    <w:p w:rsidR="008D6A5B" w:rsidRPr="00D42C6C" w:rsidRDefault="008D6A5B"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8">
    <w:p w:rsidR="008D6A5B" w:rsidRPr="00FD382C" w:rsidRDefault="008D6A5B"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enero de 2017 a diciembre de 2017, y se comparan con los ingresos acumulados de enero de 2016 a diciembre de 2016, corregido por la UF del último día del mes.</w:t>
      </w:r>
    </w:p>
  </w:footnote>
  <w:footnote w:id="9">
    <w:p w:rsidR="008D6A5B" w:rsidRPr="0004531A" w:rsidRDefault="008D6A5B"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10">
    <w:p w:rsidR="008D6A5B" w:rsidRDefault="008D6A5B">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5B" w:rsidRDefault="008D6A5B"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A5B" w:rsidRPr="00FD382C" w:rsidRDefault="008D6A5B" w:rsidP="009858E3">
    <w:pPr>
      <w:pStyle w:val="Encabezado"/>
      <w:pBdr>
        <w:bottom w:val="single" w:sz="4" w:space="1" w:color="auto"/>
      </w:pBdr>
      <w:jc w:val="right"/>
      <w:rPr>
        <w:b/>
      </w:rPr>
    </w:pPr>
    <w:r w:rsidRPr="00FD382C">
      <w:rPr>
        <w:b/>
      </w:rPr>
      <w:t>COMUNICADO DE PRENSA</w:t>
    </w:r>
  </w:p>
  <w:p w:rsidR="008D6A5B" w:rsidRDefault="008D6A5B" w:rsidP="009858E3">
    <w:pPr>
      <w:pStyle w:val="Encabezado"/>
      <w:pBdr>
        <w:bottom w:val="single" w:sz="4" w:space="1" w:color="auto"/>
      </w:pBdr>
      <w:rPr>
        <w:b/>
      </w:rPr>
    </w:pPr>
    <w:r w:rsidRPr="00FD382C">
      <w:rPr>
        <w:b/>
      </w:rPr>
      <w:tab/>
    </w:r>
    <w:r w:rsidRPr="00FD382C">
      <w:rPr>
        <w:b/>
      </w:rPr>
      <w:tab/>
    </w:r>
    <w:r w:rsidR="00345400">
      <w:rPr>
        <w:b/>
      </w:rPr>
      <w:t>Jueves 01 de febrero</w:t>
    </w:r>
    <w:r>
      <w:rPr>
        <w:b/>
      </w:rPr>
      <w:t xml:space="preserve"> de 2018</w:t>
    </w:r>
  </w:p>
  <w:p w:rsidR="008D6A5B" w:rsidRPr="00FD382C" w:rsidRDefault="008D6A5B"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249BB"/>
    <w:rsid w:val="0004531A"/>
    <w:rsid w:val="0005531F"/>
    <w:rsid w:val="00060DE8"/>
    <w:rsid w:val="00066507"/>
    <w:rsid w:val="00067327"/>
    <w:rsid w:val="00070A8B"/>
    <w:rsid w:val="00070FBD"/>
    <w:rsid w:val="00072032"/>
    <w:rsid w:val="00083908"/>
    <w:rsid w:val="00084B20"/>
    <w:rsid w:val="000A7117"/>
    <w:rsid w:val="000B159F"/>
    <w:rsid w:val="000B5535"/>
    <w:rsid w:val="000C1CF5"/>
    <w:rsid w:val="000C3DDF"/>
    <w:rsid w:val="000C7455"/>
    <w:rsid w:val="000D1DA8"/>
    <w:rsid w:val="000D553D"/>
    <w:rsid w:val="000D6BF6"/>
    <w:rsid w:val="000E4826"/>
    <w:rsid w:val="000F3AD6"/>
    <w:rsid w:val="000F3DC9"/>
    <w:rsid w:val="00106FDB"/>
    <w:rsid w:val="00107281"/>
    <w:rsid w:val="001072C1"/>
    <w:rsid w:val="00112F13"/>
    <w:rsid w:val="001152D3"/>
    <w:rsid w:val="00152CF7"/>
    <w:rsid w:val="00161F8D"/>
    <w:rsid w:val="00171452"/>
    <w:rsid w:val="001723D4"/>
    <w:rsid w:val="0017349B"/>
    <w:rsid w:val="00181717"/>
    <w:rsid w:val="00184005"/>
    <w:rsid w:val="00196290"/>
    <w:rsid w:val="001A472E"/>
    <w:rsid w:val="001C606D"/>
    <w:rsid w:val="001D33F7"/>
    <w:rsid w:val="001D7E9E"/>
    <w:rsid w:val="001E1087"/>
    <w:rsid w:val="001E2D5F"/>
    <w:rsid w:val="001E65B3"/>
    <w:rsid w:val="0020351D"/>
    <w:rsid w:val="00211790"/>
    <w:rsid w:val="00231FE9"/>
    <w:rsid w:val="00234145"/>
    <w:rsid w:val="002406D6"/>
    <w:rsid w:val="00242E1D"/>
    <w:rsid w:val="00252772"/>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45400"/>
    <w:rsid w:val="0035639B"/>
    <w:rsid w:val="00356EEF"/>
    <w:rsid w:val="00364B35"/>
    <w:rsid w:val="0036723F"/>
    <w:rsid w:val="00367E30"/>
    <w:rsid w:val="00373CA8"/>
    <w:rsid w:val="00385B98"/>
    <w:rsid w:val="00387E7B"/>
    <w:rsid w:val="003A0DBE"/>
    <w:rsid w:val="003A4D71"/>
    <w:rsid w:val="003B0C64"/>
    <w:rsid w:val="003B6933"/>
    <w:rsid w:val="003C18CD"/>
    <w:rsid w:val="003C4894"/>
    <w:rsid w:val="003C690E"/>
    <w:rsid w:val="003D02FA"/>
    <w:rsid w:val="003D15B6"/>
    <w:rsid w:val="003D3765"/>
    <w:rsid w:val="003D6DD3"/>
    <w:rsid w:val="003E14B0"/>
    <w:rsid w:val="003E7430"/>
    <w:rsid w:val="003F334D"/>
    <w:rsid w:val="003F35F6"/>
    <w:rsid w:val="003F4F95"/>
    <w:rsid w:val="00400831"/>
    <w:rsid w:val="00404CEA"/>
    <w:rsid w:val="00426C10"/>
    <w:rsid w:val="00427615"/>
    <w:rsid w:val="00457BCD"/>
    <w:rsid w:val="0046773A"/>
    <w:rsid w:val="004830B6"/>
    <w:rsid w:val="004843DA"/>
    <w:rsid w:val="00484BF8"/>
    <w:rsid w:val="004942E1"/>
    <w:rsid w:val="004C761E"/>
    <w:rsid w:val="004D351E"/>
    <w:rsid w:val="004D3E92"/>
    <w:rsid w:val="004D4205"/>
    <w:rsid w:val="004E6E42"/>
    <w:rsid w:val="004F4336"/>
    <w:rsid w:val="004F66A2"/>
    <w:rsid w:val="005305FC"/>
    <w:rsid w:val="00536AD9"/>
    <w:rsid w:val="00553922"/>
    <w:rsid w:val="00556C03"/>
    <w:rsid w:val="005609FB"/>
    <w:rsid w:val="00563030"/>
    <w:rsid w:val="00565C48"/>
    <w:rsid w:val="00570AD6"/>
    <w:rsid w:val="005744B8"/>
    <w:rsid w:val="00574797"/>
    <w:rsid w:val="00584E2D"/>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0908"/>
    <w:rsid w:val="006C2E93"/>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2B5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5DCC"/>
    <w:rsid w:val="008B14B4"/>
    <w:rsid w:val="008B6C22"/>
    <w:rsid w:val="008B72D9"/>
    <w:rsid w:val="008D6A5B"/>
    <w:rsid w:val="00901177"/>
    <w:rsid w:val="00903E38"/>
    <w:rsid w:val="0090460C"/>
    <w:rsid w:val="009070A6"/>
    <w:rsid w:val="00922E04"/>
    <w:rsid w:val="009265AF"/>
    <w:rsid w:val="009303C5"/>
    <w:rsid w:val="0096014A"/>
    <w:rsid w:val="009703D7"/>
    <w:rsid w:val="00975153"/>
    <w:rsid w:val="00982E0D"/>
    <w:rsid w:val="009858E3"/>
    <w:rsid w:val="00991AC4"/>
    <w:rsid w:val="00993795"/>
    <w:rsid w:val="009B4872"/>
    <w:rsid w:val="009C1D22"/>
    <w:rsid w:val="009C4049"/>
    <w:rsid w:val="009C6BC2"/>
    <w:rsid w:val="009E1466"/>
    <w:rsid w:val="009E3CDD"/>
    <w:rsid w:val="00A12283"/>
    <w:rsid w:val="00A1369B"/>
    <w:rsid w:val="00A148ED"/>
    <w:rsid w:val="00A14A88"/>
    <w:rsid w:val="00A17581"/>
    <w:rsid w:val="00A27E18"/>
    <w:rsid w:val="00A32D29"/>
    <w:rsid w:val="00A37DA2"/>
    <w:rsid w:val="00A41280"/>
    <w:rsid w:val="00A51CDD"/>
    <w:rsid w:val="00A63E30"/>
    <w:rsid w:val="00A71A63"/>
    <w:rsid w:val="00A729EA"/>
    <w:rsid w:val="00A73100"/>
    <w:rsid w:val="00A80DE9"/>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F1989"/>
    <w:rsid w:val="00B0351E"/>
    <w:rsid w:val="00B07563"/>
    <w:rsid w:val="00B10381"/>
    <w:rsid w:val="00B3402A"/>
    <w:rsid w:val="00B41AFC"/>
    <w:rsid w:val="00B5573A"/>
    <w:rsid w:val="00BA7A93"/>
    <w:rsid w:val="00BC4BB8"/>
    <w:rsid w:val="00BD5041"/>
    <w:rsid w:val="00BE4A05"/>
    <w:rsid w:val="00BE4A8E"/>
    <w:rsid w:val="00BF1779"/>
    <w:rsid w:val="00C005EA"/>
    <w:rsid w:val="00C04E04"/>
    <w:rsid w:val="00C2062A"/>
    <w:rsid w:val="00C5279C"/>
    <w:rsid w:val="00C547FE"/>
    <w:rsid w:val="00C60FC7"/>
    <w:rsid w:val="00C708EE"/>
    <w:rsid w:val="00C742BA"/>
    <w:rsid w:val="00C8471D"/>
    <w:rsid w:val="00C87255"/>
    <w:rsid w:val="00CA4C34"/>
    <w:rsid w:val="00CA6C7B"/>
    <w:rsid w:val="00CB5765"/>
    <w:rsid w:val="00CC6392"/>
    <w:rsid w:val="00CF05B4"/>
    <w:rsid w:val="00CF3270"/>
    <w:rsid w:val="00CF66DC"/>
    <w:rsid w:val="00D02BB0"/>
    <w:rsid w:val="00D17B24"/>
    <w:rsid w:val="00D2135A"/>
    <w:rsid w:val="00D214FD"/>
    <w:rsid w:val="00D24AE5"/>
    <w:rsid w:val="00D2557C"/>
    <w:rsid w:val="00D25673"/>
    <w:rsid w:val="00D347ED"/>
    <w:rsid w:val="00D36F50"/>
    <w:rsid w:val="00D42C6C"/>
    <w:rsid w:val="00DA04BC"/>
    <w:rsid w:val="00DA6495"/>
    <w:rsid w:val="00DB1263"/>
    <w:rsid w:val="00DB3239"/>
    <w:rsid w:val="00DB5082"/>
    <w:rsid w:val="00DD3AA0"/>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3A51"/>
    <w:rsid w:val="00EA48A8"/>
    <w:rsid w:val="00EA72CD"/>
    <w:rsid w:val="00EB4FB2"/>
    <w:rsid w:val="00EC0FC2"/>
    <w:rsid w:val="00EC15C7"/>
    <w:rsid w:val="00ED60A3"/>
    <w:rsid w:val="00EE51F5"/>
    <w:rsid w:val="00EE656D"/>
    <w:rsid w:val="00EF38DA"/>
    <w:rsid w:val="00F033B3"/>
    <w:rsid w:val="00F038FF"/>
    <w:rsid w:val="00F41C39"/>
    <w:rsid w:val="00F7324B"/>
    <w:rsid w:val="00F762A7"/>
    <w:rsid w:val="00F849F9"/>
    <w:rsid w:val="00F86774"/>
    <w:rsid w:val="00F86F05"/>
    <w:rsid w:val="00F9221C"/>
    <w:rsid w:val="00FB3D8B"/>
    <w:rsid w:val="00FB5931"/>
    <w:rsid w:val="00FC76DD"/>
    <w:rsid w:val="00FD0394"/>
    <w:rsid w:val="00FD382C"/>
    <w:rsid w:val="00FE3662"/>
    <w:rsid w:val="00FE65AC"/>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FC871F"/>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C673-9958-49D5-B3AC-B88E625B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3139</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2017-11-23T15:06:00Z</cp:lastPrinted>
  <dcterms:created xsi:type="dcterms:W3CDTF">2018-02-16T11:45:00Z</dcterms:created>
  <dcterms:modified xsi:type="dcterms:W3CDTF">2018-04-02T14:01:00Z</dcterms:modified>
</cp:coreProperties>
</file>