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3D2B" w14:textId="67EB2924" w:rsidR="00ED60A3" w:rsidRDefault="00265A30" w:rsidP="006E4FF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 xml:space="preserve">por $ </w:t>
      </w:r>
      <w:r w:rsidR="00CF3270">
        <w:rPr>
          <w:sz w:val="28"/>
          <w:szCs w:val="28"/>
        </w:rPr>
        <w:t>3</w:t>
      </w:r>
      <w:r w:rsidR="00584E2D">
        <w:rPr>
          <w:sz w:val="28"/>
          <w:szCs w:val="28"/>
        </w:rPr>
        <w:t>6</w:t>
      </w:r>
      <w:r>
        <w:rPr>
          <w:sz w:val="28"/>
          <w:szCs w:val="28"/>
        </w:rPr>
        <w:t>.</w:t>
      </w:r>
      <w:r w:rsidR="00584E2D">
        <w:rPr>
          <w:sz w:val="28"/>
          <w:szCs w:val="28"/>
        </w:rPr>
        <w:t>851</w:t>
      </w:r>
      <w:r>
        <w:rPr>
          <w:sz w:val="28"/>
          <w:szCs w:val="28"/>
        </w:rPr>
        <w:t xml:space="preserve"> millones en </w:t>
      </w:r>
      <w:r w:rsidR="00584E2D">
        <w:rPr>
          <w:sz w:val="28"/>
          <w:szCs w:val="28"/>
        </w:rPr>
        <w:t>agosto</w:t>
      </w:r>
      <w:r w:rsidR="005B279E">
        <w:rPr>
          <w:sz w:val="28"/>
          <w:szCs w:val="28"/>
        </w:rPr>
        <w:t xml:space="preserve"> de 201</w:t>
      </w:r>
      <w:r w:rsidR="00FE65AC">
        <w:rPr>
          <w:sz w:val="28"/>
          <w:szCs w:val="28"/>
        </w:rPr>
        <w:t>7</w:t>
      </w:r>
      <w:r w:rsidR="004942E1" w:rsidRPr="004942E1">
        <w:rPr>
          <w:sz w:val="28"/>
          <w:szCs w:val="28"/>
        </w:rPr>
        <w:t xml:space="preserve"> </w:t>
      </w:r>
    </w:p>
    <w:p w14:paraId="396325CE" w14:textId="439640EA" w:rsidR="00083908" w:rsidRPr="00ED60A3" w:rsidRDefault="00BE4A05" w:rsidP="00F762A7">
      <w:pPr>
        <w:pStyle w:val="Ttulo1"/>
        <w:tabs>
          <w:tab w:val="left" w:pos="0"/>
        </w:tabs>
        <w:ind w:left="720"/>
        <w:rPr>
          <w:i/>
          <w:sz w:val="22"/>
        </w:rPr>
      </w:pPr>
      <w:r>
        <w:rPr>
          <w:i/>
          <w:sz w:val="22"/>
        </w:rPr>
        <w:t xml:space="preserve">La cifra </w:t>
      </w:r>
      <w:r w:rsidR="004942E1" w:rsidRPr="00ED60A3">
        <w:rPr>
          <w:i/>
          <w:sz w:val="22"/>
        </w:rPr>
        <w:t xml:space="preserve">implica una variación real mensual </w:t>
      </w:r>
      <w:r w:rsidR="006E4FFE" w:rsidRPr="00ED60A3">
        <w:rPr>
          <w:i/>
          <w:sz w:val="22"/>
        </w:rPr>
        <w:t xml:space="preserve">de </w:t>
      </w:r>
      <w:r w:rsidR="001A472E">
        <w:rPr>
          <w:i/>
          <w:sz w:val="22"/>
        </w:rPr>
        <w:t>-4</w:t>
      </w:r>
      <w:r w:rsidR="004942E1" w:rsidRPr="00ED60A3">
        <w:rPr>
          <w:i/>
          <w:sz w:val="22"/>
        </w:rPr>
        <w:t>,</w:t>
      </w:r>
      <w:r w:rsidR="00584E2D">
        <w:rPr>
          <w:i/>
          <w:sz w:val="22"/>
        </w:rPr>
        <w:t>4</w:t>
      </w:r>
      <w:r w:rsidR="004942E1" w:rsidRPr="00ED60A3">
        <w:rPr>
          <w:i/>
          <w:sz w:val="22"/>
        </w:rPr>
        <w:t>%</w:t>
      </w:r>
      <w:r w:rsidR="00A1369B">
        <w:rPr>
          <w:i/>
          <w:sz w:val="22"/>
          <w:vertAlign w:val="superscript"/>
        </w:rPr>
        <w:t xml:space="preserve"> </w:t>
      </w:r>
      <w:r w:rsidR="004942E1" w:rsidRPr="00ED60A3">
        <w:rPr>
          <w:i/>
          <w:sz w:val="22"/>
        </w:rPr>
        <w:t xml:space="preserve">en </w:t>
      </w:r>
      <w:r w:rsidR="005B279E" w:rsidRPr="00ED60A3">
        <w:rPr>
          <w:i/>
          <w:sz w:val="22"/>
        </w:rPr>
        <w:t xml:space="preserve">comparación con el mismo mes del </w:t>
      </w:r>
      <w:r w:rsidR="004942E1" w:rsidRPr="00ED60A3">
        <w:rPr>
          <w:i/>
          <w:sz w:val="22"/>
        </w:rPr>
        <w:t>año anterior, mientras que el crecimiento real acumulado es de</w:t>
      </w:r>
      <w:r w:rsidR="00E6618E">
        <w:rPr>
          <w:i/>
          <w:sz w:val="22"/>
        </w:rPr>
        <w:t>l</w:t>
      </w:r>
      <w:r w:rsidR="004942E1" w:rsidRPr="00ED60A3">
        <w:rPr>
          <w:i/>
          <w:sz w:val="22"/>
        </w:rPr>
        <w:t xml:space="preserve"> </w:t>
      </w:r>
      <w:r w:rsidR="001A472E">
        <w:rPr>
          <w:i/>
          <w:sz w:val="22"/>
        </w:rPr>
        <w:t>-1</w:t>
      </w:r>
      <w:r w:rsidR="00584E2D">
        <w:rPr>
          <w:i/>
          <w:sz w:val="22"/>
        </w:rPr>
        <w:t>,3</w:t>
      </w:r>
      <w:r w:rsidR="004942E1" w:rsidRPr="00ED60A3">
        <w:rPr>
          <w:i/>
          <w:sz w:val="22"/>
        </w:rPr>
        <w:t xml:space="preserve">% en </w:t>
      </w:r>
      <w:r w:rsidR="00F41C39" w:rsidRPr="00ED60A3">
        <w:rPr>
          <w:i/>
          <w:sz w:val="22"/>
        </w:rPr>
        <w:t>los últimos 12 meses</w:t>
      </w:r>
      <w:r w:rsidR="004942E1" w:rsidRPr="00ED60A3">
        <w:rPr>
          <w:i/>
          <w:sz w:val="22"/>
        </w:rPr>
        <w:t>.</w:t>
      </w:r>
    </w:p>
    <w:p w14:paraId="33F3757A" w14:textId="6BA5EC58" w:rsidR="00AA4471" w:rsidRDefault="00AA4471" w:rsidP="00083908">
      <w:pPr>
        <w:tabs>
          <w:tab w:val="left" w:pos="0"/>
        </w:tabs>
        <w:spacing w:after="0" w:line="240" w:lineRule="auto"/>
      </w:pPr>
      <w:bookmarkStart w:id="0" w:name="_GoBack"/>
      <w:r>
        <w:t>La industria de casinos de juego, conformada por los 17</w:t>
      </w:r>
      <w:r w:rsidR="002406D6" w:rsidRPr="00C8471D">
        <w:rPr>
          <w:rStyle w:val="Refdenotaalpie"/>
          <w:sz w:val="28"/>
          <w:szCs w:val="28"/>
        </w:rPr>
        <w:footnoteReference w:id="1"/>
      </w:r>
      <w:r>
        <w:t xml:space="preserve"> casinos de juego autorizados por la </w:t>
      </w:r>
      <w:r w:rsidR="005B01F2">
        <w:t xml:space="preserve">Ley </w:t>
      </w:r>
      <w:proofErr w:type="spellStart"/>
      <w:r w:rsidR="005B01F2">
        <w:t>N°</w:t>
      </w:r>
      <w:proofErr w:type="spellEnd"/>
      <w:r w:rsidR="005B01F2">
        <w:t xml:space="preserve"> 19.995 </w:t>
      </w:r>
      <w:r>
        <w:t xml:space="preserve">y los </w:t>
      </w:r>
      <w:r w:rsidR="00A83B60">
        <w:t xml:space="preserve">7 </w:t>
      </w:r>
      <w:r>
        <w:t xml:space="preserve">casinos de concesión municipal, </w:t>
      </w:r>
      <w:r w:rsidR="00A729EA" w:rsidRPr="00FD382C">
        <w:t>registr</w:t>
      </w:r>
      <w:r w:rsidR="003A0DBE">
        <w:t>ó</w:t>
      </w:r>
      <w:r w:rsidR="00A729EA" w:rsidRPr="00FD382C">
        <w:t xml:space="preserve"> durante </w:t>
      </w:r>
      <w:r w:rsidR="00E9741E">
        <w:t>agosto</w:t>
      </w:r>
      <w:r>
        <w:t xml:space="preserve"> </w:t>
      </w:r>
      <w:r w:rsidR="003A0DBE">
        <w:t xml:space="preserve">de 2017 </w:t>
      </w:r>
      <w:r w:rsidR="00A729EA" w:rsidRPr="00FD382C">
        <w:t>ingresos bru</w:t>
      </w:r>
      <w:r>
        <w:t>tos del juego (</w:t>
      </w:r>
      <w:proofErr w:type="spellStart"/>
      <w:r>
        <w:t>win</w:t>
      </w:r>
      <w:proofErr w:type="spellEnd"/>
      <w:r>
        <w:t xml:space="preserve">) por $ </w:t>
      </w:r>
      <w:r w:rsidR="00CF3270">
        <w:t>3</w:t>
      </w:r>
      <w:r w:rsidR="00584E2D">
        <w:t>6</w:t>
      </w:r>
      <w:r>
        <w:t>.</w:t>
      </w:r>
      <w:r w:rsidR="00584E2D">
        <w:t>851</w:t>
      </w:r>
      <w:r>
        <w:t xml:space="preserve"> millones</w:t>
      </w:r>
      <w:r w:rsidR="003A0DBE">
        <w:t xml:space="preserve">, lo que </w:t>
      </w:r>
      <w:r w:rsidR="005B279E" w:rsidRPr="005B279E">
        <w:t xml:space="preserve">implica una variación real mensual de </w:t>
      </w:r>
      <w:r w:rsidR="001A472E">
        <w:t>-4</w:t>
      </w:r>
      <w:r w:rsidR="00A32D29">
        <w:t>,</w:t>
      </w:r>
      <w:r w:rsidR="00584E2D">
        <w:t>4</w:t>
      </w:r>
      <w:r w:rsidR="006E4FFE" w:rsidRPr="005B279E">
        <w:t>%</w:t>
      </w:r>
      <w:r w:rsidR="00A1369B" w:rsidRPr="00ED60A3">
        <w:rPr>
          <w:i/>
          <w:vertAlign w:val="superscript"/>
        </w:rPr>
        <w:footnoteReference w:id="2"/>
      </w:r>
      <w:r w:rsidR="006E4FFE" w:rsidRPr="005B279E">
        <w:t xml:space="preserve"> </w:t>
      </w:r>
      <w:r w:rsidR="005B279E" w:rsidRPr="005B279E">
        <w:t xml:space="preserve">en comparación con el mismo mes del año anterior, mientras que el crecimiento real acumulado es de </w:t>
      </w:r>
      <w:r w:rsidR="001A472E">
        <w:t>-1</w:t>
      </w:r>
      <w:r w:rsidR="00584E2D">
        <w:t>,3</w:t>
      </w:r>
      <w:r w:rsidR="006E4FFE" w:rsidRPr="005B279E">
        <w:t>%</w:t>
      </w:r>
      <w:r w:rsidR="00A1369B" w:rsidRPr="00ED60A3">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3BF8BDE0" w:rsidR="00070FBD" w:rsidRDefault="00070FBD" w:rsidP="00083908">
      <w:pPr>
        <w:tabs>
          <w:tab w:val="left" w:pos="0"/>
        </w:tabs>
        <w:spacing w:after="0" w:line="240" w:lineRule="auto"/>
      </w:pPr>
      <w:r>
        <w:t xml:space="preserve">Del total de $ </w:t>
      </w:r>
      <w:r w:rsidR="00CF3270">
        <w:t>3</w:t>
      </w:r>
      <w:r w:rsidR="00584E2D">
        <w:t>6</w:t>
      </w:r>
      <w:r>
        <w:t>.</w:t>
      </w:r>
      <w:r w:rsidR="00584E2D">
        <w:t>851</w:t>
      </w:r>
      <w:r>
        <w:t xml:space="preserve"> millones de ingresos brutos del juego o </w:t>
      </w:r>
      <w:proofErr w:type="spellStart"/>
      <w:r>
        <w:t>win</w:t>
      </w:r>
      <w:proofErr w:type="spellEnd"/>
      <w:r>
        <w:t>,</w:t>
      </w:r>
      <w:r w:rsidR="00CF3270">
        <w:t xml:space="preserve"> </w:t>
      </w:r>
      <w:proofErr w:type="spellStart"/>
      <w:r w:rsidR="00584E2D">
        <w:t>Sun</w:t>
      </w:r>
      <w:proofErr w:type="spellEnd"/>
      <w:r w:rsidR="00584E2D">
        <w:t xml:space="preserve"> Monticello representó el 17,4% ($ 6.402 millones), </w:t>
      </w:r>
      <w:r w:rsidR="001A472E">
        <w:t>Casino de Viña del Mar 1</w:t>
      </w:r>
      <w:r w:rsidR="00584E2D">
        <w:t>1</w:t>
      </w:r>
      <w:r w:rsidR="001A472E">
        <w:t>,</w:t>
      </w:r>
      <w:r w:rsidR="00584E2D">
        <w:t>5</w:t>
      </w:r>
      <w:r w:rsidR="001A472E">
        <w:t>% ($ 4.</w:t>
      </w:r>
      <w:r w:rsidR="00584E2D">
        <w:t>245</w:t>
      </w:r>
      <w:r w:rsidR="001A472E">
        <w:t xml:space="preserve"> millones),</w:t>
      </w:r>
      <w:r>
        <w:t xml:space="preserve"> </w:t>
      </w:r>
      <w:r w:rsidR="00A32D29">
        <w:t>Casino Rinconada 1</w:t>
      </w:r>
      <w:r w:rsidR="00584E2D">
        <w:t>0</w:t>
      </w:r>
      <w:r w:rsidR="00A32D29">
        <w:t>,</w:t>
      </w:r>
      <w:r w:rsidR="00584E2D">
        <w:t>7</w:t>
      </w:r>
      <w:r w:rsidR="00A32D29">
        <w:t xml:space="preserve"> % ($ </w:t>
      </w:r>
      <w:r w:rsidR="00584E2D">
        <w:t>3.929</w:t>
      </w:r>
      <w:r w:rsidR="00A32D29">
        <w:t xml:space="preserve"> millones),</w:t>
      </w:r>
      <w:r w:rsidR="003F35F6">
        <w:t xml:space="preserve"> </w:t>
      </w:r>
      <w:r w:rsidR="00A17581">
        <w:t xml:space="preserve">Marina del Sol Talcahuano </w:t>
      </w:r>
      <w:r w:rsidR="00584E2D">
        <w:t>8</w:t>
      </w:r>
      <w:r w:rsidR="00A32D29">
        <w:t>,</w:t>
      </w:r>
      <w:r w:rsidR="00584E2D">
        <w:t>5</w:t>
      </w:r>
      <w:r w:rsidR="00A17581">
        <w:t xml:space="preserve"> % ($ </w:t>
      </w:r>
      <w:r w:rsidR="00584E2D">
        <w:t>3.139</w:t>
      </w:r>
      <w:r w:rsidR="00A17581">
        <w:t xml:space="preserve"> millones),</w:t>
      </w:r>
      <w:r w:rsidR="00A17581" w:rsidRPr="006E6197">
        <w:t xml:space="preserve"> </w:t>
      </w:r>
      <w:r w:rsidR="00A32D29">
        <w:t xml:space="preserve"> Coquimbo 6,</w:t>
      </w:r>
      <w:r w:rsidR="00584E2D">
        <w:t>1</w:t>
      </w:r>
      <w:r w:rsidR="00A32D29">
        <w:t>% ($ 2.</w:t>
      </w:r>
      <w:r w:rsidR="001A472E">
        <w:t>2</w:t>
      </w:r>
      <w:r w:rsidR="00584E2D">
        <w:t>30</w:t>
      </w:r>
      <w:r w:rsidR="00A32D29">
        <w:t xml:space="preserve"> millones), </w:t>
      </w:r>
      <w:proofErr w:type="spellStart"/>
      <w:r w:rsidR="00A17581">
        <w:t>Enjoy</w:t>
      </w:r>
      <w:proofErr w:type="spellEnd"/>
      <w:r w:rsidR="00A17581">
        <w:t xml:space="preserve"> Antofagasta </w:t>
      </w:r>
      <w:r w:rsidR="00A32D29">
        <w:t>5</w:t>
      </w:r>
      <w:r w:rsidR="00A17581">
        <w:t>,</w:t>
      </w:r>
      <w:r w:rsidR="00584E2D">
        <w:t>6</w:t>
      </w:r>
      <w:r w:rsidR="00A17581">
        <w:t xml:space="preserve"> % ($</w:t>
      </w:r>
      <w:r w:rsidR="001A472E">
        <w:t xml:space="preserve"> </w:t>
      </w:r>
      <w:r w:rsidR="00584E2D">
        <w:t>2.081</w:t>
      </w:r>
      <w:r w:rsidR="00A17581">
        <w:t xml:space="preserve"> millones),</w:t>
      </w:r>
      <w:r w:rsidR="00584E2D">
        <w:t xml:space="preserve"> Dreams Temuco 4,9 % ($ 1.824  millones), </w:t>
      </w:r>
      <w:r w:rsidR="00A17581">
        <w:t xml:space="preserve"> </w:t>
      </w:r>
      <w:r w:rsidR="001A472E">
        <w:t xml:space="preserve">Casino de Iquique </w:t>
      </w:r>
      <w:r w:rsidR="00584E2D">
        <w:t>4</w:t>
      </w:r>
      <w:r w:rsidR="001A472E">
        <w:t>,</w:t>
      </w:r>
      <w:r w:rsidR="00E9741E">
        <w:t>5</w:t>
      </w:r>
      <w:r w:rsidR="001A472E">
        <w:t xml:space="preserve"> % ($ </w:t>
      </w:r>
      <w:r w:rsidR="00584E2D">
        <w:t>1.676</w:t>
      </w:r>
      <w:r w:rsidR="001A472E">
        <w:t xml:space="preserve"> millones), </w:t>
      </w:r>
      <w:r w:rsidR="003F35F6">
        <w:t xml:space="preserve">Dreams Punta Arenas </w:t>
      </w:r>
      <w:r w:rsidR="00A17581">
        <w:t>4,</w:t>
      </w:r>
      <w:r w:rsidR="00584E2D">
        <w:t>1</w:t>
      </w:r>
      <w:r w:rsidR="003F35F6">
        <w:t xml:space="preserve"> % ($ </w:t>
      </w:r>
      <w:r w:rsidR="00584E2D">
        <w:t>1.517</w:t>
      </w:r>
      <w:r w:rsidR="003F35F6">
        <w:t xml:space="preserve"> millones), </w:t>
      </w:r>
      <w:r w:rsidR="00A148ED">
        <w:t>Casino Puerto Varas 3,</w:t>
      </w:r>
      <w:r w:rsidR="00584E2D">
        <w:t>4</w:t>
      </w:r>
      <w:r w:rsidR="00A148ED">
        <w:t xml:space="preserve"> % ($ </w:t>
      </w:r>
      <w:r w:rsidR="00584E2D">
        <w:t>1.241</w:t>
      </w:r>
      <w:r w:rsidR="00A148ED">
        <w:t xml:space="preserve"> millones),</w:t>
      </w:r>
      <w:r w:rsidR="00584E2D">
        <w:t xml:space="preserve"> Marina del Sol Calama 2,7% ($ 994 millones), Gran Casino de Talca 2,6 % ($ 957 millones), </w:t>
      </w:r>
      <w:proofErr w:type="spellStart"/>
      <w:r w:rsidR="00584E2D">
        <w:t>Antay</w:t>
      </w:r>
      <w:proofErr w:type="spellEnd"/>
      <w:r w:rsidR="00584E2D">
        <w:t xml:space="preserve"> Casino &amp; Hotel 2,6% ($ 950 millones),  </w:t>
      </w:r>
      <w:r w:rsidR="00A148ED">
        <w:t xml:space="preserve"> </w:t>
      </w:r>
      <w:r w:rsidR="001A472E">
        <w:t>Dreams Valdivia 2,</w:t>
      </w:r>
      <w:r w:rsidR="00584E2D">
        <w:t>5</w:t>
      </w:r>
      <w:r w:rsidR="001A472E">
        <w:t xml:space="preserve"> % ($ </w:t>
      </w:r>
      <w:r w:rsidR="00584E2D">
        <w:t>914</w:t>
      </w:r>
      <w:r w:rsidR="001A472E">
        <w:t xml:space="preserve"> millones), </w:t>
      </w:r>
      <w:r w:rsidR="00584E2D">
        <w:t xml:space="preserve">Marina del Sol Osorno 2,0 % ($ 744  millones), </w:t>
      </w:r>
      <w:r w:rsidR="001A472E">
        <w:t>Casino de Pucón 2,</w:t>
      </w:r>
      <w:r w:rsidR="00584E2D">
        <w:t>0</w:t>
      </w:r>
      <w:r w:rsidR="001A472E">
        <w:t xml:space="preserve"> % ($ </w:t>
      </w:r>
      <w:r w:rsidR="00584E2D">
        <w:t>722</w:t>
      </w:r>
      <w:r w:rsidR="001A472E">
        <w:t xml:space="preserve"> millones), </w:t>
      </w:r>
      <w:r w:rsidR="00E6618E">
        <w:t xml:space="preserve">Casino de Juegos del Pacífico </w:t>
      </w:r>
      <w:r w:rsidR="00584E2D">
        <w:t>1</w:t>
      </w:r>
      <w:r w:rsidR="00E6618E">
        <w:t>,</w:t>
      </w:r>
      <w:r w:rsidR="00584E2D">
        <w:t>9</w:t>
      </w:r>
      <w:r w:rsidR="00E6618E">
        <w:t xml:space="preserve"> % ($ </w:t>
      </w:r>
      <w:r w:rsidR="00584E2D">
        <w:t>684</w:t>
      </w:r>
      <w:r w:rsidR="00E6618E">
        <w:t xml:space="preserve"> millones), </w:t>
      </w:r>
      <w:r w:rsidR="00A32D29">
        <w:t>Casino de Arica 1,</w:t>
      </w:r>
      <w:r w:rsidR="00584E2D">
        <w:t>6</w:t>
      </w:r>
      <w:r w:rsidR="00A32D29">
        <w:t xml:space="preserve"> % ($ </w:t>
      </w:r>
      <w:r w:rsidR="00584E2D">
        <w:t>592</w:t>
      </w:r>
      <w:r w:rsidR="00A32D29">
        <w:t xml:space="preserve"> millones),</w:t>
      </w:r>
      <w:r w:rsidR="00A17581">
        <w:t xml:space="preserve"> </w:t>
      </w:r>
      <w:r w:rsidR="006E6197">
        <w:t>Casino de Colchagua 1,</w:t>
      </w:r>
      <w:r w:rsidR="00584E2D">
        <w:t>5</w:t>
      </w:r>
      <w:r w:rsidR="006E6197">
        <w:t xml:space="preserve"> % ($ </w:t>
      </w:r>
      <w:r w:rsidR="00584E2D">
        <w:t>547</w:t>
      </w:r>
      <w:r w:rsidR="006E6197">
        <w:t xml:space="preserve"> millones),</w:t>
      </w:r>
      <w:r w:rsidR="00584E2D">
        <w:t xml:space="preserve"> Dreams Coyhaique 1,1 % ($ 395 millones), </w:t>
      </w:r>
      <w:r w:rsidR="001E1087">
        <w:t xml:space="preserve"> </w:t>
      </w:r>
      <w:r w:rsidR="00A32D29">
        <w:t>Casino Gran Los Ángeles 1</w:t>
      </w:r>
      <w:r w:rsidR="00E6618E">
        <w:t>,</w:t>
      </w:r>
      <w:r w:rsidR="00584E2D">
        <w:t>1</w:t>
      </w:r>
      <w:r w:rsidR="00A32D29">
        <w:t xml:space="preserve"> % ($ </w:t>
      </w:r>
      <w:r w:rsidR="00584E2D">
        <w:t>392</w:t>
      </w:r>
      <w:r w:rsidR="00A32D29">
        <w:t xml:space="preserve"> millones), </w:t>
      </w:r>
      <w:proofErr w:type="spellStart"/>
      <w:r w:rsidR="00584E2D">
        <w:t>Enjoy</w:t>
      </w:r>
      <w:proofErr w:type="spellEnd"/>
      <w:r w:rsidR="00584E2D">
        <w:t xml:space="preserve"> Chiloé 0,8 % ($ 282 millones), </w:t>
      </w:r>
      <w:r w:rsidR="00E6618E">
        <w:t>Ovalle Casino Resort S.A. 0,</w:t>
      </w:r>
      <w:r w:rsidR="00584E2D">
        <w:t>7</w:t>
      </w:r>
      <w:r w:rsidR="00E6618E">
        <w:t xml:space="preserve"> % (</w:t>
      </w:r>
      <w:r w:rsidR="00584E2D">
        <w:t>$242</w:t>
      </w:r>
      <w:r w:rsidR="00E6618E">
        <w:t xml:space="preserve"> millones),</w:t>
      </w:r>
      <w:r w:rsidR="006E6197">
        <w:t xml:space="preserve"> </w:t>
      </w:r>
      <w:r w:rsidR="009E3CDD">
        <w:t>Casino de Natales</w:t>
      </w:r>
      <w:r w:rsidR="00F033B3">
        <w:t xml:space="preserve"> 0,4 % ($1</w:t>
      </w:r>
      <w:r w:rsidR="00A32D29">
        <w:t>5</w:t>
      </w:r>
      <w:r w:rsidR="00584E2D">
        <w:t>2</w:t>
      </w:r>
      <w:r w:rsidR="00F033B3">
        <w:t xml:space="preserve"> millones).</w:t>
      </w: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 xml:space="preserve">ey </w:t>
      </w:r>
      <w:proofErr w:type="spellStart"/>
      <w:r w:rsidR="0017349B" w:rsidRPr="00FB3D8B">
        <w:rPr>
          <w:b/>
        </w:rPr>
        <w:t>N°</w:t>
      </w:r>
      <w:proofErr w:type="spellEnd"/>
      <w:r w:rsidR="0017349B" w:rsidRPr="00FB3D8B">
        <w:rPr>
          <w:b/>
        </w:rPr>
        <w:t xml:space="preserve"> 19.995</w:t>
      </w:r>
    </w:p>
    <w:p w14:paraId="7C1D2E0C" w14:textId="77777777" w:rsidR="0017349B" w:rsidRDefault="0017349B" w:rsidP="00083908">
      <w:pPr>
        <w:tabs>
          <w:tab w:val="left" w:pos="0"/>
        </w:tabs>
        <w:spacing w:after="0" w:line="240" w:lineRule="auto"/>
      </w:pPr>
    </w:p>
    <w:p w14:paraId="067C7E85" w14:textId="22AD5304"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w:t>
      </w:r>
      <w:proofErr w:type="spellStart"/>
      <w:r w:rsidR="00AA4471">
        <w:t>N°</w:t>
      </w:r>
      <w:proofErr w:type="spellEnd"/>
      <w:r w:rsidR="00AA4471">
        <w:t xml:space="preserve"> 19.995 alcanzaron </w:t>
      </w:r>
      <w:r w:rsidR="00AA4471" w:rsidRPr="00FD382C">
        <w:t>ingresos bru</w:t>
      </w:r>
      <w:r w:rsidR="00AA4471">
        <w:t>tos del juego (</w:t>
      </w:r>
      <w:proofErr w:type="spellStart"/>
      <w:r w:rsidR="00AA4471">
        <w:t>win</w:t>
      </w:r>
      <w:proofErr w:type="spellEnd"/>
      <w:r w:rsidR="00AA4471">
        <w:t>) por $ 2</w:t>
      </w:r>
      <w:r w:rsidR="00584E2D">
        <w:t>5</w:t>
      </w:r>
      <w:r w:rsidR="00AA4471">
        <w:t>.</w:t>
      </w:r>
      <w:r w:rsidR="00584E2D">
        <w:t>992</w:t>
      </w:r>
      <w:r w:rsidR="00AA4471" w:rsidRPr="00FD382C">
        <w:t xml:space="preserve"> millones,</w:t>
      </w:r>
      <w:r w:rsidR="00070FBD">
        <w:t xml:space="preserve"> lo que representa un </w:t>
      </w:r>
      <w:r w:rsidR="00584E2D">
        <w:t>70</w:t>
      </w:r>
      <w:r w:rsidR="00070FBD">
        <w:t>,</w:t>
      </w:r>
      <w:r w:rsidR="00584E2D">
        <w:t>5</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1723D4">
        <w:t>-</w:t>
      </w:r>
      <w:r w:rsidR="00E6618E">
        <w:t>5</w:t>
      </w:r>
      <w:r w:rsidR="00AA4471">
        <w:t>,</w:t>
      </w:r>
      <w:r w:rsidR="00584E2D">
        <w:t>0</w:t>
      </w:r>
      <w:r w:rsidR="00AA4471">
        <w:t>%</w:t>
      </w:r>
      <w:r w:rsidR="00AA4471" w:rsidRPr="00C8471D">
        <w:rPr>
          <w:rStyle w:val="Refdenotaalpie"/>
          <w:sz w:val="28"/>
          <w:szCs w:val="28"/>
        </w:rPr>
        <w:footnoteReference w:id="5"/>
      </w:r>
      <w:r w:rsidR="00AA4471">
        <w:t xml:space="preserve">, en comparación con </w:t>
      </w:r>
      <w:r w:rsidR="00A14A88">
        <w:t>agost</w:t>
      </w:r>
      <w:r w:rsidR="00BD5041">
        <w:t>o</w:t>
      </w:r>
      <w:r w:rsidR="00AA4471">
        <w:t xml:space="preserve"> de 201</w:t>
      </w:r>
      <w:r w:rsidR="00A14A88">
        <w:t>7</w:t>
      </w:r>
      <w:r w:rsidR="00AA4471">
        <w:t xml:space="preserve">. </w:t>
      </w:r>
      <w:r w:rsidR="00AA4471">
        <w:lastRenderedPageBreak/>
        <w:t xml:space="preserve">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E6618E">
        <w:t>-1</w:t>
      </w:r>
      <w:r w:rsidR="00AA4471">
        <w:t>,</w:t>
      </w:r>
      <w:r w:rsidR="00A14A88">
        <w:t>6</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03A3836A" w:rsidR="00265A30" w:rsidRDefault="00265A30" w:rsidP="00083908">
      <w:pPr>
        <w:tabs>
          <w:tab w:val="left" w:pos="0"/>
        </w:tabs>
        <w:spacing w:after="0" w:line="240" w:lineRule="auto"/>
      </w:pPr>
      <w:r>
        <w:t xml:space="preserve">En los mismos términos, las </w:t>
      </w:r>
      <w:r w:rsidR="009070A6">
        <w:t>4</w:t>
      </w:r>
      <w:r w:rsidR="00E6618E">
        <w:t>2</w:t>
      </w:r>
      <w:r w:rsidR="00A14A88">
        <w:t>9</w:t>
      </w:r>
      <w:r>
        <w:t>.</w:t>
      </w:r>
      <w:r w:rsidR="00A14A88">
        <w:t>204</w:t>
      </w:r>
      <w:r>
        <w:t xml:space="preserve"> visitas registradas equivalen a una variación de </w:t>
      </w:r>
      <w:r w:rsidR="00E6618E">
        <w:t>-</w:t>
      </w:r>
      <w:r w:rsidR="00A14A88">
        <w:t>5</w:t>
      </w:r>
      <w:r>
        <w:t>,</w:t>
      </w:r>
      <w:r w:rsidR="00A14A88">
        <w:t>3</w:t>
      </w:r>
      <w:r w:rsidR="003C4894">
        <w:t xml:space="preserve">% </w:t>
      </w:r>
      <w:r>
        <w:t xml:space="preserve">en comparación con </w:t>
      </w:r>
      <w:r w:rsidR="00A14A88">
        <w:t>agost</w:t>
      </w:r>
      <w:r w:rsidR="00BD5041">
        <w:t>o</w:t>
      </w:r>
      <w:r>
        <w:t xml:space="preserve"> de 201</w:t>
      </w:r>
      <w:r w:rsidR="003E14B0">
        <w:t>6</w:t>
      </w:r>
      <w:r w:rsidR="000D6BF6">
        <w:t xml:space="preserve"> y a un </w:t>
      </w:r>
      <w:r>
        <w:t xml:space="preserve">crecimiento </w:t>
      </w:r>
      <w:r w:rsidR="003E7430">
        <w:t xml:space="preserve">acumulado </w:t>
      </w:r>
      <w:r>
        <w:t>de</w:t>
      </w:r>
      <w:r w:rsidR="00E6618E">
        <w:t>l</w:t>
      </w:r>
      <w:r>
        <w:t xml:space="preserve"> </w:t>
      </w:r>
      <w:r w:rsidR="00E6618E">
        <w:t>-</w:t>
      </w:r>
      <w:r w:rsidR="009070A6">
        <w:t>0</w:t>
      </w:r>
      <w:r>
        <w:t>,</w:t>
      </w:r>
      <w:r w:rsidR="00A14A88">
        <w:t>8</w:t>
      </w:r>
      <w:r>
        <w:t>% en los últimos 12 meses.</w:t>
      </w:r>
    </w:p>
    <w:p w14:paraId="5093E9B6" w14:textId="77777777" w:rsidR="00265A30" w:rsidRDefault="00265A30" w:rsidP="00083908">
      <w:pPr>
        <w:tabs>
          <w:tab w:val="left" w:pos="0"/>
        </w:tabs>
        <w:spacing w:after="0" w:line="240" w:lineRule="auto"/>
      </w:pPr>
    </w:p>
    <w:p w14:paraId="5579C75A" w14:textId="554DB15A" w:rsidR="00265A30" w:rsidRDefault="00265A30" w:rsidP="00083908">
      <w:pPr>
        <w:tabs>
          <w:tab w:val="left" w:pos="0"/>
        </w:tabs>
        <w:spacing w:after="0" w:line="240" w:lineRule="auto"/>
      </w:pPr>
      <w:r>
        <w:t xml:space="preserve">Respecto del gasto de los visitantes, durante el mes de </w:t>
      </w:r>
      <w:r w:rsidR="00E9741E">
        <w:t>agosto</w:t>
      </w:r>
      <w:r>
        <w:t xml:space="preserve"> se registró un gasto promedio de </w:t>
      </w:r>
      <w:r w:rsidR="00556C03">
        <w:t xml:space="preserve">    </w:t>
      </w:r>
      <w:r>
        <w:t xml:space="preserve">$ </w:t>
      </w:r>
      <w:r w:rsidR="00A14A88">
        <w:t>60</w:t>
      </w:r>
      <w:r w:rsidR="00BD5041">
        <w:t>.</w:t>
      </w:r>
      <w:r w:rsidR="00A14A88">
        <w:t>560</w:t>
      </w:r>
      <w:r>
        <w:t xml:space="preserve"> por visita, lo que </w:t>
      </w:r>
      <w:r w:rsidR="000D6BF6">
        <w:t xml:space="preserve">implica </w:t>
      </w:r>
      <w:r>
        <w:t xml:space="preserve">una variación </w:t>
      </w:r>
      <w:r w:rsidR="004E6E42">
        <w:t xml:space="preserve">real </w:t>
      </w:r>
      <w:r>
        <w:t xml:space="preserve">de </w:t>
      </w:r>
      <w:r w:rsidR="00A14A88">
        <w:t>0</w:t>
      </w:r>
      <w:r w:rsidR="00E43884">
        <w:t>,</w:t>
      </w:r>
      <w:r w:rsidR="00A14A88">
        <w:t>4</w:t>
      </w:r>
      <w:r>
        <w:t xml:space="preserve">% respecto de </w:t>
      </w:r>
      <w:r w:rsidR="00A14A88">
        <w:t>agost</w:t>
      </w:r>
      <w:r w:rsidR="00BD5041">
        <w:t>o</w:t>
      </w:r>
      <w:r>
        <w:t xml:space="preserve"> 201</w:t>
      </w:r>
      <w:r w:rsidR="00E43884">
        <w:t>6</w:t>
      </w:r>
      <w:r>
        <w:t xml:space="preserve">, alcanzando un crecimiento acumulado real del gasto de </w:t>
      </w:r>
      <w:r w:rsidR="00895DCC">
        <w:t>-</w:t>
      </w:r>
      <w:r w:rsidR="001E1087">
        <w:t>0</w:t>
      </w:r>
      <w:r w:rsidR="00895DCC">
        <w:t>,</w:t>
      </w:r>
      <w:r w:rsidR="00A14A88">
        <w:t>8</w:t>
      </w:r>
      <w:r>
        <w:t>% en los últimos 12 meses.</w:t>
      </w:r>
    </w:p>
    <w:p w14:paraId="40A7363C" w14:textId="77777777" w:rsidR="00ED60A3" w:rsidRDefault="00ED60A3" w:rsidP="00083908">
      <w:pPr>
        <w:tabs>
          <w:tab w:val="left" w:pos="0"/>
        </w:tabs>
        <w:spacing w:after="0" w:line="240" w:lineRule="auto"/>
      </w:pPr>
    </w:p>
    <w:p w14:paraId="3BE1B88A" w14:textId="1DE6EF97" w:rsidR="00265A30" w:rsidRPr="0031661E" w:rsidRDefault="00265A30" w:rsidP="00083908">
      <w:pPr>
        <w:tabs>
          <w:tab w:val="left" w:pos="0"/>
        </w:tabs>
        <w:spacing w:after="0" w:line="240" w:lineRule="auto"/>
      </w:pPr>
      <w:r w:rsidRPr="0031661E">
        <w:t xml:space="preserve">Finalmente, respecto al pago de impuestos, </w:t>
      </w:r>
      <w:r w:rsidR="00A37DA2" w:rsidRPr="0031661E">
        <w:t xml:space="preserve">durante agosto de 2017 </w:t>
      </w:r>
      <w:r w:rsidR="00E850D1" w:rsidRPr="0031661E">
        <w:t>los 17</w:t>
      </w:r>
      <w:r w:rsidR="00E850D1" w:rsidRPr="0031661E">
        <w:rPr>
          <w:sz w:val="28"/>
          <w:szCs w:val="28"/>
        </w:rPr>
        <w:t xml:space="preserve"> </w:t>
      </w:r>
      <w:r w:rsidR="00E850D1" w:rsidRPr="0031661E">
        <w:t xml:space="preserve">casinos de juego autorizados por la Ley </w:t>
      </w:r>
      <w:proofErr w:type="spellStart"/>
      <w:r w:rsidR="00E850D1" w:rsidRPr="0031661E">
        <w:t>N°</w:t>
      </w:r>
      <w:proofErr w:type="spellEnd"/>
      <w:r w:rsidR="00E850D1" w:rsidRPr="0031661E">
        <w:t xml:space="preserve"> 19.995 -sin contar a los 7 casinos de concesión municipal- aportaron </w:t>
      </w:r>
      <w:r w:rsidRPr="0031661E">
        <w:t>un total de</w:t>
      </w:r>
      <w:r w:rsidR="00A80DE9" w:rsidRPr="0031661E">
        <w:t xml:space="preserve"> $9</w:t>
      </w:r>
      <w:r w:rsidR="006741BF" w:rsidRPr="0031661E">
        <w:t>.</w:t>
      </w:r>
      <w:r w:rsidR="0031661E">
        <w:t>768 millones, que se desglosan</w:t>
      </w:r>
      <w:r w:rsidR="00A80DE9" w:rsidRPr="0031661E">
        <w:t xml:space="preserve"> en </w:t>
      </w:r>
      <w:r w:rsidRPr="0031661E">
        <w:t xml:space="preserve">$ </w:t>
      </w:r>
      <w:r w:rsidR="00A14A88" w:rsidRPr="0031661E">
        <w:t>4</w:t>
      </w:r>
      <w:r w:rsidRPr="0031661E">
        <w:t>.</w:t>
      </w:r>
      <w:r w:rsidR="00A14A88" w:rsidRPr="0031661E">
        <w:t>217</w:t>
      </w:r>
      <w:r w:rsidR="00E43884" w:rsidRPr="0031661E">
        <w:t xml:space="preserve"> </w:t>
      </w:r>
      <w:r w:rsidRPr="0031661E">
        <w:t>millones por concepto de impuesto al específico al juego</w:t>
      </w:r>
      <w:r w:rsidR="00E850D1" w:rsidRPr="0031661E">
        <w:t xml:space="preserve"> percibidos por los Gobiernos Regionales y Municipalidades</w:t>
      </w:r>
      <w:r w:rsidR="00A37DA2" w:rsidRPr="0031661E">
        <w:t xml:space="preserve"> en donde operan</w:t>
      </w:r>
      <w:r w:rsidRPr="0031661E">
        <w:rPr>
          <w:rStyle w:val="Refdenotaalpie"/>
        </w:rPr>
        <w:footnoteReference w:id="7"/>
      </w:r>
      <w:r w:rsidRPr="0031661E">
        <w:t xml:space="preserve">, </w:t>
      </w:r>
      <w:r w:rsidR="00A37DA2" w:rsidRPr="0031661E">
        <w:t xml:space="preserve">además de </w:t>
      </w:r>
      <w:r w:rsidRPr="0031661E">
        <w:t>la suma de $ 1.</w:t>
      </w:r>
      <w:r w:rsidR="00A14A88" w:rsidRPr="0031661E">
        <w:t>400</w:t>
      </w:r>
      <w:r w:rsidR="00F849F9" w:rsidRPr="0031661E">
        <w:t xml:space="preserve"> </w:t>
      </w:r>
      <w:r w:rsidRPr="0031661E">
        <w:t>millones</w:t>
      </w:r>
      <w:r w:rsidR="000D6BF6" w:rsidRPr="0031661E">
        <w:t xml:space="preserve"> </w:t>
      </w:r>
      <w:r w:rsidR="00E850D1" w:rsidRPr="0031661E">
        <w:t xml:space="preserve">por concepto de entrada </w:t>
      </w:r>
      <w:r w:rsidR="000D6BF6" w:rsidRPr="0031661E">
        <w:t xml:space="preserve">y </w:t>
      </w:r>
      <w:r w:rsidRPr="0031661E">
        <w:t xml:space="preserve">$ </w:t>
      </w:r>
      <w:r w:rsidR="00A14A88" w:rsidRPr="0031661E">
        <w:t>4</w:t>
      </w:r>
      <w:r w:rsidRPr="0031661E">
        <w:t>.</w:t>
      </w:r>
      <w:r w:rsidR="00A14A88" w:rsidRPr="0031661E">
        <w:t>150</w:t>
      </w:r>
      <w:r w:rsidRPr="0031661E">
        <w:t xml:space="preserve"> </w:t>
      </w:r>
      <w:r w:rsidR="00A80DE9" w:rsidRPr="0031661E">
        <w:t xml:space="preserve">millones </w:t>
      </w:r>
      <w:r w:rsidR="00E850D1" w:rsidRPr="0031661E">
        <w:t>asociados al pago de IVA</w:t>
      </w:r>
      <w:r w:rsidR="00A80DE9" w:rsidRPr="0031661E">
        <w:t xml:space="preserve">, como se detalla en </w:t>
      </w:r>
      <w:r w:rsidR="0005531F" w:rsidRPr="0031661E">
        <w:t>el punto 12 del anexo</w:t>
      </w:r>
      <w:r w:rsidR="00A80DE9" w:rsidRPr="0031661E">
        <w:t>.</w:t>
      </w:r>
    </w:p>
    <w:p w14:paraId="5D714EBD" w14:textId="77777777" w:rsidR="00070FBD" w:rsidRDefault="00070FBD" w:rsidP="00083908">
      <w:pPr>
        <w:tabs>
          <w:tab w:val="left" w:pos="0"/>
        </w:tabs>
        <w:spacing w:after="0" w:line="240" w:lineRule="auto"/>
      </w:pPr>
    </w:p>
    <w:p w14:paraId="5EE682DF" w14:textId="6AF380F7"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A14A88">
        <w:t>agost</w:t>
      </w:r>
      <w:r w:rsidR="00670528">
        <w:t>o</w:t>
      </w:r>
      <w:r>
        <w:t xml:space="preserve">, en las </w:t>
      </w:r>
      <w:r w:rsidR="00F849F9">
        <w:t>9</w:t>
      </w:r>
      <w:r>
        <w:t>.</w:t>
      </w:r>
      <w:r w:rsidR="00E6618E">
        <w:t>9</w:t>
      </w:r>
      <w:r w:rsidR="00A14A88">
        <w:t>56</w:t>
      </w:r>
      <w:r>
        <w:t xml:space="preserve"> máquinas de azar</w:t>
      </w:r>
      <w:r w:rsidR="00F849F9">
        <w:rPr>
          <w:rStyle w:val="Refdenotaalpie"/>
        </w:rPr>
        <w:footnoteReference w:id="9"/>
      </w:r>
      <w:r>
        <w:t xml:space="preserve"> que estuvieron en funcionamiento en los 17 casinos regulados ascendió a $ </w:t>
      </w:r>
      <w:r w:rsidR="00BD5041">
        <w:t>3</w:t>
      </w:r>
      <w:r w:rsidR="00A14A88">
        <w:t>46</w:t>
      </w:r>
      <w:r w:rsidR="00BD5041">
        <w:t>.</w:t>
      </w:r>
      <w:r w:rsidR="00A14A88">
        <w:t>196</w:t>
      </w:r>
      <w:r>
        <w:t xml:space="preserve"> millones. Los premios pagados a los jugadores alcanzaron los $ </w:t>
      </w:r>
      <w:r w:rsidR="00A14A88">
        <w:t>325</w:t>
      </w:r>
      <w:r w:rsidR="00BD5041">
        <w:t>.</w:t>
      </w:r>
      <w:r w:rsidR="00A14A88">
        <w:t>033</w:t>
      </w:r>
      <w:r>
        <w:t xml:space="preserve"> millones, equivalentes al 9</w:t>
      </w:r>
      <w:r w:rsidR="00F849F9">
        <w:t>3</w:t>
      </w:r>
      <w:r>
        <w:t>,</w:t>
      </w:r>
      <w:r w:rsidR="00E6618E">
        <w:t>9</w:t>
      </w:r>
      <w:r>
        <w:t>% del total apostado</w:t>
      </w:r>
      <w:r w:rsidR="000D6BF6">
        <w:t xml:space="preserve"> y c</w:t>
      </w:r>
      <w:r>
        <w:t>omo</w:t>
      </w:r>
      <w:r w:rsidR="005B279E">
        <w:t xml:space="preserve"> resultado, el ingreso bruto o </w:t>
      </w:r>
      <w:proofErr w:type="spellStart"/>
      <w:r w:rsidR="005B279E">
        <w:t>w</w:t>
      </w:r>
      <w:r>
        <w:t>in</w:t>
      </w:r>
      <w:proofErr w:type="spellEnd"/>
      <w:r>
        <w:t xml:space="preserve"> correspondiente al juego en máquinas de azar fue de $</w:t>
      </w:r>
      <w:r w:rsidR="00A14A88">
        <w:t>21</w:t>
      </w:r>
      <w:r>
        <w:t>.</w:t>
      </w:r>
      <w:r w:rsidR="00A14A88">
        <w:t>163</w:t>
      </w:r>
      <w:r>
        <w:t xml:space="preserve"> millones</w:t>
      </w:r>
      <w:r w:rsidR="000D6BF6">
        <w:t>,</w:t>
      </w:r>
      <w:r>
        <w:t xml:space="preserve"> que equivale al </w:t>
      </w:r>
      <w:r w:rsidR="00E6618E">
        <w:t>81</w:t>
      </w:r>
      <w:r>
        <w:t>,</w:t>
      </w:r>
      <w:r w:rsidR="00A14A88">
        <w:t>4</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071B57CF" w:rsidR="00265A30" w:rsidRDefault="00070FBD" w:rsidP="00083908">
      <w:pPr>
        <w:spacing w:after="0" w:line="240" w:lineRule="auto"/>
      </w:pPr>
      <w:r>
        <w:t xml:space="preserve">Por su parte, </w:t>
      </w:r>
      <w:r w:rsidR="00265A30" w:rsidRPr="00265A30">
        <w:t>los casinos municipales obtuvieron un total de $ 1</w:t>
      </w:r>
      <w:r w:rsidR="00A14A88">
        <w:t>0</w:t>
      </w:r>
      <w:r w:rsidR="00265A30" w:rsidRPr="00265A30">
        <w:t>.</w:t>
      </w:r>
      <w:r w:rsidR="00A14A88">
        <w:t>858</w:t>
      </w:r>
      <w:r w:rsidR="00265A30" w:rsidRPr="00265A30">
        <w:t xml:space="preserve"> millones de ingresos brutos del juego o </w:t>
      </w:r>
      <w:proofErr w:type="spellStart"/>
      <w:r w:rsidR="00265A30" w:rsidRPr="00265A30">
        <w:t>win</w:t>
      </w:r>
      <w:proofErr w:type="spellEnd"/>
      <w:r w:rsidR="00265A30" w:rsidRPr="00265A30">
        <w:t xml:space="preserve">, </w:t>
      </w:r>
      <w:r>
        <w:t xml:space="preserve">lo que representa un total de </w:t>
      </w:r>
      <w:r w:rsidR="00A14A88">
        <w:t>29</w:t>
      </w:r>
      <w:r>
        <w:t>,</w:t>
      </w:r>
      <w:r w:rsidR="00A14A88">
        <w:t>5</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E6618E">
        <w:t>1</w:t>
      </w:r>
      <w:r w:rsidR="00265A30" w:rsidRPr="00265A30">
        <w:rPr>
          <w:bCs/>
        </w:rPr>
        <w:t>,</w:t>
      </w:r>
      <w:r w:rsidR="00A14A88">
        <w:rPr>
          <w:bCs/>
        </w:rPr>
        <w:t>5</w:t>
      </w:r>
      <w:r w:rsidR="00265A30" w:rsidRPr="00265A30">
        <w:rPr>
          <w:bCs/>
        </w:rPr>
        <w:t>%</w:t>
      </w:r>
      <w:r w:rsidR="00265A30" w:rsidRPr="00265A30">
        <w:t xml:space="preserve"> en comparación con </w:t>
      </w:r>
      <w:r w:rsidR="00A14A88">
        <w:t>agost</w:t>
      </w:r>
      <w:r w:rsidR="00670528">
        <w:t>o</w:t>
      </w:r>
      <w:r w:rsidR="005B3F73" w:rsidRPr="00265A30">
        <w:t> de</w:t>
      </w:r>
      <w:r w:rsidR="00265A30" w:rsidRPr="00265A30">
        <w:t xml:space="preserve"> 201</w:t>
      </w:r>
      <w:r w:rsidR="00E43884">
        <w:t>6</w:t>
      </w:r>
      <w:r w:rsidR="00265A30" w:rsidRPr="00265A30">
        <w:t xml:space="preserve"> y un crecimiento real acumulado de </w:t>
      </w:r>
      <w:r w:rsidR="00E43884">
        <w:t>-</w:t>
      </w:r>
      <w:r w:rsidR="00A14A88">
        <w:t>2</w:t>
      </w:r>
      <w:r w:rsidR="00265A30" w:rsidRPr="00265A30">
        <w:rPr>
          <w:bCs/>
        </w:rPr>
        <w:t>,</w:t>
      </w:r>
      <w:r w:rsidR="00A14A88">
        <w:rPr>
          <w:bCs/>
        </w:rPr>
        <w:t>9</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4A377204"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8062BF">
        <w:t>2</w:t>
      </w:r>
      <w:r w:rsidR="00A14A88">
        <w:t>05</w:t>
      </w:r>
      <w:r w:rsidR="008062BF">
        <w:t>.</w:t>
      </w:r>
      <w:r w:rsidR="00A14A88">
        <w:t>522</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w:t>
      </w:r>
      <w:proofErr w:type="spellStart"/>
      <w:r w:rsidR="001D7E9E">
        <w:t>N°</w:t>
      </w:r>
      <w:proofErr w:type="spellEnd"/>
      <w:r w:rsidR="001D7E9E">
        <w:t xml:space="preserve">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6C135F00" w:rsidR="0004531A" w:rsidRDefault="009C4049" w:rsidP="00083908">
      <w:pPr>
        <w:tabs>
          <w:tab w:val="left" w:pos="0"/>
        </w:tabs>
        <w:spacing w:after="0" w:line="240" w:lineRule="auto"/>
      </w:pPr>
      <w:r>
        <w:lastRenderedPageBreak/>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del mes, a diferencia de los valores nominales que se informaban en los boletines anteriores.</w:t>
      </w:r>
    </w:p>
    <w:bookmarkEnd w:id="0"/>
    <w:p w14:paraId="693CA066" w14:textId="77777777" w:rsidR="00083908" w:rsidRDefault="00083908" w:rsidP="00083908">
      <w:pPr>
        <w:tabs>
          <w:tab w:val="left" w:pos="0"/>
        </w:tabs>
        <w:spacing w:after="0" w:line="240" w:lineRule="auto"/>
        <w:jc w:val="left"/>
      </w:pPr>
    </w:p>
    <w:p w14:paraId="6701658E" w14:textId="77777777" w:rsidR="00565C48" w:rsidRDefault="00565C48" w:rsidP="00196290">
      <w:pPr>
        <w:tabs>
          <w:tab w:val="left" w:pos="0"/>
        </w:tabs>
        <w:jc w:val="center"/>
        <w:rPr>
          <w:rFonts w:ascii="Calibri" w:hAnsi="Calibri" w:cs="Calibri"/>
          <w:b/>
          <w:sz w:val="21"/>
          <w:szCs w:val="21"/>
        </w:rPr>
      </w:pPr>
    </w:p>
    <w:p w14:paraId="4A600DC7" w14:textId="77777777" w:rsidR="00565C48" w:rsidRDefault="00565C48" w:rsidP="00196290">
      <w:pPr>
        <w:tabs>
          <w:tab w:val="left" w:pos="0"/>
        </w:tabs>
        <w:jc w:val="center"/>
        <w:rPr>
          <w:rFonts w:ascii="Calibri" w:hAnsi="Calibri" w:cs="Calibri"/>
          <w:b/>
          <w:sz w:val="21"/>
          <w:szCs w:val="21"/>
        </w:rPr>
      </w:pPr>
    </w:p>
    <w:p w14:paraId="519EF534" w14:textId="77777777" w:rsidR="00565C48" w:rsidRDefault="00565C48" w:rsidP="00196290">
      <w:pPr>
        <w:tabs>
          <w:tab w:val="left" w:pos="0"/>
        </w:tabs>
        <w:jc w:val="center"/>
        <w:rPr>
          <w:rFonts w:ascii="Calibri" w:hAnsi="Calibri" w:cs="Calibri"/>
          <w:b/>
          <w:sz w:val="21"/>
          <w:szCs w:val="21"/>
        </w:rPr>
      </w:pPr>
    </w:p>
    <w:p w14:paraId="528ABD30" w14:textId="61FD6881"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E9741E">
        <w:rPr>
          <w:rFonts w:ascii="Calibri" w:hAnsi="Calibri" w:cs="Calibri"/>
          <w:b/>
          <w:sz w:val="21"/>
          <w:szCs w:val="21"/>
        </w:rPr>
        <w:t>AGOSTO</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0D321A20" w14:textId="5E6DBA20"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 xml:space="preserve">Industria en general (Casinos autorizados por la Ley </w:t>
      </w:r>
      <w:proofErr w:type="spellStart"/>
      <w:r>
        <w:rPr>
          <w:rFonts w:ascii="Calibri" w:hAnsi="Calibri" w:cs="Calibri"/>
          <w:b/>
          <w:sz w:val="21"/>
          <w:szCs w:val="21"/>
        </w:rPr>
        <w:t>N°</w:t>
      </w:r>
      <w:proofErr w:type="spellEnd"/>
      <w:r>
        <w:rPr>
          <w:rFonts w:ascii="Calibri" w:hAnsi="Calibri" w:cs="Calibri"/>
          <w:b/>
          <w:sz w:val="21"/>
          <w:szCs w:val="21"/>
        </w:rPr>
        <w:t xml:space="preserve"> 19.995 y Casinos Municipales</w:t>
      </w:r>
    </w:p>
    <w:p w14:paraId="065F2AA5" w14:textId="6162BD00" w:rsidR="00E810F9" w:rsidRDefault="00A14A88" w:rsidP="005F17F7">
      <w:pPr>
        <w:ind w:left="-567"/>
        <w:jc w:val="center"/>
        <w:rPr>
          <w:rFonts w:ascii="Calibri" w:hAnsi="Calibri" w:cs="Calibri"/>
          <w:b/>
          <w:sz w:val="21"/>
          <w:szCs w:val="21"/>
        </w:rPr>
      </w:pPr>
      <w:r>
        <w:rPr>
          <w:rFonts w:ascii="Calibri" w:hAnsi="Calibri" w:cs="Calibri"/>
          <w:b/>
          <w:noProof/>
          <w:sz w:val="21"/>
          <w:szCs w:val="21"/>
          <w:lang w:val="es-ES_tradnl" w:eastAsia="es-ES_tradnl"/>
        </w:rPr>
        <w:drawing>
          <wp:inline distT="0" distB="0" distL="0" distR="0" wp14:anchorId="2EAAFA2D" wp14:editId="1065644E">
            <wp:extent cx="6324266" cy="4343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2201" cy="4348850"/>
                    </a:xfrm>
                    <a:prstGeom prst="rect">
                      <a:avLst/>
                    </a:prstGeom>
                    <a:noFill/>
                  </pic:spPr>
                </pic:pic>
              </a:graphicData>
            </a:graphic>
          </wp:inline>
        </w:drawing>
      </w:r>
    </w:p>
    <w:p w14:paraId="38CF5176" w14:textId="48F41F7C" w:rsidR="00242E1D" w:rsidRDefault="00A14A88" w:rsidP="005F17F7">
      <w:pPr>
        <w:ind w:left="-567"/>
        <w:jc w:val="center"/>
        <w:rPr>
          <w:rFonts w:ascii="Calibri" w:hAnsi="Calibri" w:cs="Calibri"/>
          <w:b/>
          <w:sz w:val="21"/>
          <w:szCs w:val="21"/>
        </w:rPr>
      </w:pPr>
      <w:r>
        <w:rPr>
          <w:rFonts w:ascii="Calibri" w:hAnsi="Calibri" w:cs="Calibri"/>
          <w:b/>
          <w:noProof/>
          <w:sz w:val="21"/>
          <w:szCs w:val="21"/>
          <w:lang w:val="es-ES_tradnl" w:eastAsia="es-ES_tradnl"/>
        </w:rPr>
        <w:lastRenderedPageBreak/>
        <w:drawing>
          <wp:inline distT="0" distB="0" distL="0" distR="0" wp14:anchorId="5AC437A1" wp14:editId="4273353B">
            <wp:extent cx="4313132" cy="338582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9227" cy="3390605"/>
                    </a:xfrm>
                    <a:prstGeom prst="rect">
                      <a:avLst/>
                    </a:prstGeom>
                    <a:noFill/>
                  </pic:spPr>
                </pic:pic>
              </a:graphicData>
            </a:graphic>
          </wp:inline>
        </w:drawing>
      </w:r>
    </w:p>
    <w:p w14:paraId="7E80FF3D" w14:textId="77777777" w:rsidR="00E660DE" w:rsidRDefault="00E660DE"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t xml:space="preserve">Casinos de juego autorizados por la Ley </w:t>
      </w:r>
      <w:proofErr w:type="spellStart"/>
      <w:r w:rsidRPr="00FB3D8B">
        <w:rPr>
          <w:rFonts w:ascii="Calibri" w:hAnsi="Calibri" w:cs="Arial"/>
          <w:b/>
        </w:rPr>
        <w:t>N°</w:t>
      </w:r>
      <w:proofErr w:type="spellEnd"/>
      <w:r w:rsidRPr="00FB3D8B">
        <w:rPr>
          <w:rFonts w:ascii="Calibri" w:hAnsi="Calibri" w:cs="Arial"/>
          <w:b/>
        </w:rPr>
        <w:t xml:space="preserve">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076E7154"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E9741E">
        <w:rPr>
          <w:b/>
        </w:rPr>
        <w:t>agosto</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7AFC19D0" w:rsidR="00FB3D8B" w:rsidRDefault="00A14A88" w:rsidP="00FB3D8B">
      <w:pPr>
        <w:pStyle w:val="Prrafodelista"/>
        <w:tabs>
          <w:tab w:val="left" w:pos="0"/>
        </w:tabs>
        <w:ind w:left="0"/>
        <w:rPr>
          <w:rFonts w:ascii="Calibri" w:hAnsi="Calibri" w:cs="Calibri"/>
          <w:b/>
          <w:sz w:val="21"/>
          <w:szCs w:val="21"/>
        </w:rPr>
      </w:pPr>
      <w:r>
        <w:rPr>
          <w:rFonts w:ascii="Calibri" w:hAnsi="Calibri" w:cs="Calibri"/>
          <w:b/>
          <w:noProof/>
          <w:sz w:val="21"/>
          <w:szCs w:val="21"/>
          <w:lang w:val="es-ES_tradnl" w:eastAsia="es-ES_tradnl"/>
        </w:rPr>
        <w:drawing>
          <wp:inline distT="0" distB="0" distL="0" distR="0" wp14:anchorId="06F08E2F" wp14:editId="36C7EE54">
            <wp:extent cx="5539193" cy="389191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2942" cy="3894549"/>
                    </a:xfrm>
                    <a:prstGeom prst="rect">
                      <a:avLst/>
                    </a:prstGeom>
                    <a:noFill/>
                  </pic:spPr>
                </pic:pic>
              </a:graphicData>
            </a:graphic>
          </wp:inline>
        </w:drawing>
      </w:r>
    </w:p>
    <w:p w14:paraId="7AD39E61" w14:textId="77777777" w:rsidR="00FB3D8B" w:rsidRDefault="00FB3D8B"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lastRenderedPageBreak/>
        <w:t>Evolución Mensual ingr</w:t>
      </w:r>
      <w:r>
        <w:rPr>
          <w:b/>
        </w:rPr>
        <w:t xml:space="preserve">esos brutos del juego o </w:t>
      </w:r>
      <w:proofErr w:type="spellStart"/>
      <w:r>
        <w:rPr>
          <w:b/>
        </w:rPr>
        <w:t>win</w:t>
      </w:r>
      <w:proofErr w:type="spellEnd"/>
      <w:r>
        <w:rPr>
          <w:b/>
        </w:rPr>
        <w:t>,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7D0C3455" w:rsidR="00FB3D8B" w:rsidRPr="001E2D5F" w:rsidRDefault="00A14A88" w:rsidP="005B1CCB">
      <w:pPr>
        <w:pStyle w:val="Prrafodelista"/>
        <w:tabs>
          <w:tab w:val="left" w:pos="0"/>
        </w:tabs>
        <w:ind w:left="0" w:hanging="567"/>
        <w:rPr>
          <w:b/>
        </w:rPr>
      </w:pPr>
      <w:r>
        <w:rPr>
          <w:b/>
          <w:noProof/>
          <w:lang w:val="es-ES_tradnl" w:eastAsia="es-ES_tradnl"/>
        </w:rPr>
        <w:drawing>
          <wp:inline distT="0" distB="0" distL="0" distR="0" wp14:anchorId="38AE2E51" wp14:editId="667C9A0F">
            <wp:extent cx="6088222" cy="223012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9839" cy="2234375"/>
                    </a:xfrm>
                    <a:prstGeom prst="rect">
                      <a:avLst/>
                    </a:prstGeom>
                    <a:noFill/>
                  </pic:spPr>
                </pic:pic>
              </a:graphicData>
            </a:graphic>
          </wp:inline>
        </w:drawing>
      </w:r>
    </w:p>
    <w:p w14:paraId="4C4FC6AE" w14:textId="607C45B7" w:rsidR="00AC7932" w:rsidRDefault="00AC7932"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124"/>
        <w:gridCol w:w="667"/>
        <w:gridCol w:w="647"/>
        <w:gridCol w:w="647"/>
        <w:gridCol w:w="647"/>
        <w:gridCol w:w="634"/>
        <w:gridCol w:w="647"/>
        <w:gridCol w:w="647"/>
        <w:gridCol w:w="647"/>
        <w:gridCol w:w="647"/>
        <w:gridCol w:w="662"/>
        <w:gridCol w:w="644"/>
        <w:gridCol w:w="589"/>
      </w:tblGrid>
      <w:tr w:rsidR="00A14A88" w:rsidRPr="00FD5AE7" w14:paraId="3381A192" w14:textId="77777777" w:rsidTr="005744B8">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A14A88" w:rsidRPr="00FD5AE7" w:rsidRDefault="00A14A88" w:rsidP="00A14A88">
            <w:pPr>
              <w:spacing w:after="0" w:line="240" w:lineRule="auto"/>
              <w:ind w:left="-496"/>
              <w:jc w:val="center"/>
              <w:rPr>
                <w:rFonts w:ascii="Calibri" w:eastAsia="Times New Roman" w:hAnsi="Calibri" w:cs="Times New Roman"/>
                <w:color w:val="000000"/>
                <w:sz w:val="10"/>
                <w:szCs w:val="10"/>
                <w:lang w:val="es-ES" w:eastAsia="es-ES"/>
              </w:rPr>
            </w:pPr>
          </w:p>
        </w:tc>
        <w:tc>
          <w:tcPr>
            <w:tcW w:w="431"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6806F1EE" w:rsidR="00A14A88" w:rsidRPr="00FD5AE7" w:rsidRDefault="00A14A88" w:rsidP="00A14A88">
            <w:pPr>
              <w:spacing w:line="240" w:lineRule="auto"/>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4C4BC1A9"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Oct</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77ADA50D"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Nov</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6AD4A24F"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Dic</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5D893F76"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Ene</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4208582F"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114AB1B7"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Mar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34438997"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57B9DCAE"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May</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7C6CD15F"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Jun</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77950D7F" w:rsidR="00A14A88" w:rsidRPr="00FD5AE7" w:rsidRDefault="00A14A88" w:rsidP="00A14A88">
            <w:pPr>
              <w:jc w:val="center"/>
              <w:rPr>
                <w:rFonts w:ascii="Calibri" w:hAnsi="Calibri"/>
                <w:b/>
                <w:bCs/>
                <w:color w:val="FFFFFF"/>
                <w:sz w:val="10"/>
                <w:szCs w:val="10"/>
              </w:rPr>
            </w:pPr>
            <w:r>
              <w:rPr>
                <w:rFonts w:ascii="Calibri" w:hAnsi="Calibri" w:cs="Calibri"/>
                <w:b/>
                <w:bCs/>
                <w:color w:val="FFFFFF"/>
                <w:sz w:val="12"/>
                <w:szCs w:val="12"/>
              </w:rPr>
              <w:t>Jul</w:t>
            </w:r>
          </w:p>
        </w:tc>
        <w:tc>
          <w:tcPr>
            <w:tcW w:w="322" w:type="pct"/>
            <w:tcBorders>
              <w:top w:val="single" w:sz="8" w:space="0" w:color="auto"/>
              <w:left w:val="nil"/>
              <w:bottom w:val="single" w:sz="8" w:space="0" w:color="auto"/>
              <w:right w:val="single" w:sz="8" w:space="0" w:color="auto"/>
            </w:tcBorders>
            <w:shd w:val="clear" w:color="000000" w:fill="0F243E"/>
            <w:noWrap/>
            <w:vAlign w:val="bottom"/>
          </w:tcPr>
          <w:p w14:paraId="7E08D288" w14:textId="5944F013" w:rsidR="00A14A88" w:rsidRPr="00FD5AE7" w:rsidRDefault="00A14A88" w:rsidP="00A14A88">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A14A88" w:rsidRPr="00FD5AE7" w14:paraId="00F41731" w14:textId="77777777" w:rsidTr="005744B8">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55D1B756" w:rsidR="00A14A88" w:rsidRPr="00FD5AE7" w:rsidRDefault="005744B8" w:rsidP="00A14A88">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septiembre</w:t>
            </w:r>
            <w:r w:rsidR="00A14A88">
              <w:rPr>
                <w:rFonts w:ascii="Calibri" w:hAnsi="Calibri" w:cs="Calibri"/>
                <w:color w:val="000000"/>
                <w:sz w:val="12"/>
                <w:szCs w:val="12"/>
              </w:rPr>
              <w:t xml:space="preserve"> 2015-</w:t>
            </w:r>
            <w:r>
              <w:rPr>
                <w:rFonts w:ascii="Calibri" w:hAnsi="Calibri" w:cs="Calibri"/>
                <w:color w:val="000000"/>
                <w:sz w:val="12"/>
                <w:szCs w:val="12"/>
              </w:rPr>
              <w:t>a</w:t>
            </w:r>
            <w:r w:rsidR="00A14A88">
              <w:rPr>
                <w:rFonts w:ascii="Calibri" w:hAnsi="Calibri" w:cs="Calibri"/>
                <w:color w:val="000000"/>
                <w:sz w:val="12"/>
                <w:szCs w:val="12"/>
              </w:rPr>
              <w:t>gosto 2016 ($ millones)</w:t>
            </w:r>
          </w:p>
        </w:tc>
        <w:tc>
          <w:tcPr>
            <w:tcW w:w="431"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34BBDEBD" w:rsidR="00A14A88" w:rsidRPr="00FD5AE7" w:rsidRDefault="00A14A88" w:rsidP="00A14A88">
            <w:pPr>
              <w:spacing w:line="240" w:lineRule="auto"/>
              <w:jc w:val="center"/>
              <w:rPr>
                <w:rFonts w:ascii="Calibri" w:hAnsi="Calibri"/>
                <w:color w:val="000000"/>
                <w:sz w:val="10"/>
                <w:szCs w:val="10"/>
              </w:rPr>
            </w:pPr>
            <w:r>
              <w:rPr>
                <w:rFonts w:ascii="Calibri" w:hAnsi="Calibri" w:cs="Calibri"/>
                <w:color w:val="000000"/>
                <w:sz w:val="12"/>
                <w:szCs w:val="12"/>
              </w:rPr>
              <w:t xml:space="preserve">                                23.876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4E1BF72D"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27.138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1E34518A"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23.637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33DDE210"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25.066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5B33E0AA"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25.785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332327BC"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23.933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4130F52F"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25.473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0328E3FB"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25.472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79410F9F"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26.801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5AE430B9"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24.918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2385518B"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27.583 </w:t>
            </w:r>
          </w:p>
        </w:tc>
        <w:tc>
          <w:tcPr>
            <w:tcW w:w="322" w:type="pct"/>
            <w:tcBorders>
              <w:top w:val="nil"/>
              <w:left w:val="nil"/>
              <w:bottom w:val="single" w:sz="8" w:space="0" w:color="auto"/>
              <w:right w:val="single" w:sz="8" w:space="0" w:color="auto"/>
            </w:tcBorders>
            <w:shd w:val="clear" w:color="000000" w:fill="DCE6F1"/>
            <w:noWrap/>
            <w:vAlign w:val="bottom"/>
            <w:hideMark/>
          </w:tcPr>
          <w:p w14:paraId="7ED65E7F" w14:textId="3068002E"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26.945 </w:t>
            </w:r>
          </w:p>
        </w:tc>
      </w:tr>
      <w:tr w:rsidR="00A14A88" w:rsidRPr="00FD5AE7" w14:paraId="34F714A0" w14:textId="77777777" w:rsidTr="005744B8">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1FF8647E" w:rsidR="00A14A88" w:rsidRPr="00FD5AE7" w:rsidRDefault="005744B8" w:rsidP="00A14A88">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septiembre</w:t>
            </w:r>
            <w:r w:rsidR="00A14A88">
              <w:rPr>
                <w:rFonts w:ascii="Calibri" w:hAnsi="Calibri" w:cs="Calibri"/>
                <w:color w:val="000000"/>
                <w:sz w:val="12"/>
                <w:szCs w:val="12"/>
              </w:rPr>
              <w:t xml:space="preserve"> 2016-</w:t>
            </w:r>
            <w:r>
              <w:rPr>
                <w:rFonts w:ascii="Calibri" w:hAnsi="Calibri" w:cs="Calibri"/>
                <w:color w:val="000000"/>
                <w:sz w:val="12"/>
                <w:szCs w:val="12"/>
              </w:rPr>
              <w:t>a</w:t>
            </w:r>
            <w:r w:rsidR="00A14A88">
              <w:rPr>
                <w:rFonts w:ascii="Calibri" w:hAnsi="Calibri" w:cs="Calibri"/>
                <w:color w:val="000000"/>
                <w:sz w:val="12"/>
                <w:szCs w:val="12"/>
              </w:rPr>
              <w:t>gosto 2017 ($ millones)</w:t>
            </w:r>
          </w:p>
        </w:tc>
        <w:tc>
          <w:tcPr>
            <w:tcW w:w="431"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20B4A139"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25.789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43272F4B"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26.974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40BC8821"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23.653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0DF842F0"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25.277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3348A458"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26.014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127B5B38"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23.857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0DFB4FF2"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27.467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37167A46"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27.275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47E3115C"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25.677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2BCB6C03"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27.756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0DB564A7"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23.693 </w:t>
            </w:r>
          </w:p>
        </w:tc>
        <w:tc>
          <w:tcPr>
            <w:tcW w:w="322" w:type="pct"/>
            <w:tcBorders>
              <w:top w:val="nil"/>
              <w:left w:val="nil"/>
              <w:bottom w:val="single" w:sz="8" w:space="0" w:color="auto"/>
              <w:right w:val="single" w:sz="8" w:space="0" w:color="auto"/>
            </w:tcBorders>
            <w:shd w:val="clear" w:color="000000" w:fill="DCE6F1"/>
            <w:noWrap/>
            <w:vAlign w:val="bottom"/>
            <w:hideMark/>
          </w:tcPr>
          <w:p w14:paraId="27925C99" w14:textId="5E099770"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 xml:space="preserve">                       25.992 </w:t>
            </w:r>
          </w:p>
        </w:tc>
      </w:tr>
      <w:tr w:rsidR="00A14A88" w:rsidRPr="00FD5AE7" w14:paraId="5BD17B55" w14:textId="77777777" w:rsidTr="005744B8">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6DF38CB7" w:rsidR="00A14A88" w:rsidRPr="00FD5AE7" w:rsidRDefault="00A14A88" w:rsidP="00A14A88">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431"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0E0623AC"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8,0%</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596A9544"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-0,6%</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6F5891E5"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0,1%</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7FCF5BAC"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0,8%</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10731DAF"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0,9%</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4842CCDF"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-0,3%</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1859516F"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7,8%</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4DC39F9E"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7,1%</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00B028B4"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-4,2%</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4E60FE84"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11,4%</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76B434B6"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-14,1%</w:t>
            </w:r>
          </w:p>
        </w:tc>
        <w:tc>
          <w:tcPr>
            <w:tcW w:w="322" w:type="pct"/>
            <w:tcBorders>
              <w:top w:val="nil"/>
              <w:left w:val="nil"/>
              <w:bottom w:val="single" w:sz="8" w:space="0" w:color="auto"/>
              <w:right w:val="single" w:sz="8" w:space="0" w:color="auto"/>
            </w:tcBorders>
            <w:shd w:val="clear" w:color="000000" w:fill="DCE6F1"/>
            <w:noWrap/>
            <w:vAlign w:val="bottom"/>
            <w:hideMark/>
          </w:tcPr>
          <w:p w14:paraId="5C62F803" w14:textId="7B786F1F" w:rsidR="00A14A88" w:rsidRPr="00FD5AE7" w:rsidRDefault="00A14A88" w:rsidP="00A14A88">
            <w:pPr>
              <w:jc w:val="center"/>
              <w:rPr>
                <w:rFonts w:ascii="Calibri" w:hAnsi="Calibri"/>
                <w:color w:val="000000"/>
                <w:sz w:val="10"/>
                <w:szCs w:val="10"/>
              </w:rPr>
            </w:pPr>
            <w:r>
              <w:rPr>
                <w:rFonts w:ascii="Calibri" w:hAnsi="Calibri" w:cs="Calibri"/>
                <w:color w:val="000000"/>
                <w:sz w:val="12"/>
                <w:szCs w:val="12"/>
              </w:rPr>
              <w:t>-3,5%</w:t>
            </w:r>
          </w:p>
        </w:tc>
      </w:tr>
      <w:tr w:rsidR="00FB3D8B" w:rsidRPr="00FD5AE7" w14:paraId="6A69D0E0" w14:textId="77777777" w:rsidTr="005744B8">
        <w:trPr>
          <w:trHeight w:val="397"/>
        </w:trPr>
        <w:tc>
          <w:tcPr>
            <w:tcW w:w="4678"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 xml:space="preserve">Crecimiento </w:t>
            </w:r>
            <w:proofErr w:type="spellStart"/>
            <w:r w:rsidRPr="00EB4FB2">
              <w:rPr>
                <w:rFonts w:ascii="Calibri" w:hAnsi="Calibri"/>
                <w:bCs/>
                <w:color w:val="000000"/>
                <w:sz w:val="12"/>
                <w:szCs w:val="10"/>
              </w:rPr>
              <w:t>Win</w:t>
            </w:r>
            <w:proofErr w:type="spellEnd"/>
            <w:r w:rsidRPr="00EB4FB2">
              <w:rPr>
                <w:rFonts w:ascii="Calibri" w:hAnsi="Calibri"/>
                <w:bCs/>
                <w:color w:val="000000"/>
                <w:sz w:val="12"/>
                <w:szCs w:val="10"/>
              </w:rPr>
              <w:t xml:space="preserve"> Nominal (Anual)</w:t>
            </w:r>
          </w:p>
        </w:tc>
        <w:tc>
          <w:tcPr>
            <w:tcW w:w="322" w:type="pct"/>
            <w:tcBorders>
              <w:top w:val="nil"/>
              <w:left w:val="nil"/>
              <w:bottom w:val="single" w:sz="8" w:space="0" w:color="auto"/>
              <w:right w:val="single" w:sz="8" w:space="0" w:color="auto"/>
            </w:tcBorders>
            <w:shd w:val="clear" w:color="000000" w:fill="DCE6F1"/>
            <w:noWrap/>
            <w:vAlign w:val="center"/>
            <w:hideMark/>
          </w:tcPr>
          <w:p w14:paraId="44902F0D" w14:textId="682ED9F3" w:rsidR="00FB3D8B" w:rsidRPr="00FD5AE7" w:rsidRDefault="005744B8" w:rsidP="004843DA">
            <w:pPr>
              <w:jc w:val="center"/>
              <w:rPr>
                <w:rFonts w:ascii="Calibri" w:hAnsi="Calibri"/>
                <w:color w:val="000000"/>
                <w:sz w:val="10"/>
                <w:szCs w:val="10"/>
              </w:rPr>
            </w:pPr>
            <w:r>
              <w:rPr>
                <w:rFonts w:ascii="Calibri" w:hAnsi="Calibri"/>
                <w:color w:val="000000"/>
                <w:sz w:val="14"/>
                <w:szCs w:val="10"/>
              </w:rPr>
              <w:t>0</w:t>
            </w:r>
            <w:r w:rsidR="005305FC">
              <w:rPr>
                <w:rFonts w:ascii="Calibri" w:hAnsi="Calibri"/>
                <w:color w:val="000000"/>
                <w:sz w:val="14"/>
                <w:szCs w:val="10"/>
              </w:rPr>
              <w:t>.</w:t>
            </w:r>
            <w:r>
              <w:rPr>
                <w:rFonts w:ascii="Calibri" w:hAnsi="Calibri"/>
                <w:color w:val="000000"/>
                <w:sz w:val="14"/>
                <w:szCs w:val="10"/>
              </w:rPr>
              <w:t>9</w:t>
            </w:r>
            <w:r w:rsidR="005305FC">
              <w:rPr>
                <w:rFonts w:ascii="Calibri" w:hAnsi="Calibri"/>
                <w:color w:val="000000"/>
                <w:sz w:val="14"/>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5744B8" w:rsidRPr="00FD5AE7" w14:paraId="2B71E579" w14:textId="77777777" w:rsidTr="005744B8">
        <w:trPr>
          <w:trHeight w:val="397"/>
        </w:trPr>
        <w:tc>
          <w:tcPr>
            <w:tcW w:w="786"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31171734" w:rsidR="005744B8" w:rsidRPr="000E4826" w:rsidRDefault="005744B8" w:rsidP="005744B8">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septiembre 2015-agosto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7D808E0F" w:rsidR="005744B8" w:rsidRPr="000E4826" w:rsidRDefault="005744B8" w:rsidP="005744B8">
            <w:pPr>
              <w:spacing w:line="240" w:lineRule="auto"/>
              <w:jc w:val="center"/>
              <w:rPr>
                <w:rFonts w:ascii="Calibri" w:hAnsi="Calibri"/>
                <w:color w:val="000000"/>
                <w:sz w:val="10"/>
                <w:szCs w:val="10"/>
              </w:rPr>
            </w:pPr>
            <w:r>
              <w:rPr>
                <w:rFonts w:ascii="Calibri" w:hAnsi="Calibri" w:cs="Calibri"/>
                <w:color w:val="000000"/>
                <w:sz w:val="12"/>
                <w:szCs w:val="12"/>
              </w:rPr>
              <w:t xml:space="preserve">                               941.970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15795451"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1.064.658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41341F94"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923.372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7632DF70"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978.021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1B567D68"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1.006.072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3DA065EA"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930.609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3E959F3D"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986.864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72B4767C"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983.225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79E99684"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1.031.081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66BF81A8"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956.484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6E6126CE"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1.055.128 </w:t>
            </w:r>
          </w:p>
        </w:tc>
        <w:tc>
          <w:tcPr>
            <w:tcW w:w="322" w:type="pct"/>
            <w:tcBorders>
              <w:top w:val="nil"/>
              <w:left w:val="nil"/>
              <w:bottom w:val="single" w:sz="8" w:space="0" w:color="auto"/>
              <w:right w:val="single" w:sz="8" w:space="0" w:color="auto"/>
            </w:tcBorders>
            <w:shd w:val="clear" w:color="000000" w:fill="DCE6F1"/>
            <w:noWrap/>
            <w:vAlign w:val="bottom"/>
            <w:hideMark/>
          </w:tcPr>
          <w:p w14:paraId="1FEB92F8" w14:textId="38C69D51"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1.028.064 </w:t>
            </w:r>
          </w:p>
        </w:tc>
      </w:tr>
      <w:tr w:rsidR="005744B8" w:rsidRPr="00FD5AE7" w14:paraId="5F4AE746" w14:textId="77777777" w:rsidTr="005744B8">
        <w:trPr>
          <w:trHeight w:val="397"/>
        </w:trPr>
        <w:tc>
          <w:tcPr>
            <w:tcW w:w="786"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27260683" w:rsidR="005744B8" w:rsidRPr="000E4826" w:rsidRDefault="005744B8" w:rsidP="005744B8">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septiembre 2016-agosto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41351404"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983.407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3EAE10B3"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1.027.149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04D67F9C"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898.880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39C8B032"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959.347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4D511390"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988.444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50CB1D00"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903.951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60C7E30E"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1.037.577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18BB651A"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1.026.847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08D65940"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964.194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5AB6D7CA"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1.040.915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01AE96D8"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890.797 </w:t>
            </w:r>
          </w:p>
        </w:tc>
        <w:tc>
          <w:tcPr>
            <w:tcW w:w="322" w:type="pct"/>
            <w:tcBorders>
              <w:top w:val="nil"/>
              <w:left w:val="nil"/>
              <w:bottom w:val="single" w:sz="8" w:space="0" w:color="auto"/>
              <w:right w:val="single" w:sz="8" w:space="0" w:color="auto"/>
            </w:tcBorders>
            <w:shd w:val="clear" w:color="000000" w:fill="DCE6F1"/>
            <w:noWrap/>
            <w:vAlign w:val="bottom"/>
            <w:hideMark/>
          </w:tcPr>
          <w:p w14:paraId="7C44324E" w14:textId="4E6BEB9E"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 xml:space="preserve">                       977.011 </w:t>
            </w:r>
          </w:p>
        </w:tc>
      </w:tr>
      <w:tr w:rsidR="005744B8" w:rsidRPr="00FD5AE7" w14:paraId="4024F91F" w14:textId="77777777" w:rsidTr="005744B8">
        <w:trPr>
          <w:trHeight w:val="397"/>
        </w:trPr>
        <w:tc>
          <w:tcPr>
            <w:tcW w:w="786"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7AA4C10A" w:rsidR="005744B8" w:rsidRPr="000E4826" w:rsidRDefault="005744B8" w:rsidP="005744B8">
            <w:pPr>
              <w:jc w:val="left"/>
              <w:rPr>
                <w:rFonts w:ascii="Calibri" w:hAnsi="Calibri"/>
                <w:bCs/>
                <w:color w:val="000000"/>
                <w:sz w:val="10"/>
                <w:szCs w:val="10"/>
              </w:rPr>
            </w:pPr>
            <w:r>
              <w:rPr>
                <w:rFonts w:ascii="Calibri" w:hAnsi="Calibri" w:cs="Calibri"/>
                <w:b/>
                <w:bCs/>
                <w:color w:val="000000"/>
                <w:sz w:val="12"/>
                <w:szCs w:val="12"/>
              </w:rPr>
              <w:t xml:space="preserve">Crecimiento </w:t>
            </w:r>
            <w:proofErr w:type="spellStart"/>
            <w:r>
              <w:rPr>
                <w:rFonts w:ascii="Calibri" w:hAnsi="Calibri" w:cs="Calibri"/>
                <w:b/>
                <w:bCs/>
                <w:color w:val="000000"/>
                <w:sz w:val="12"/>
                <w:szCs w:val="12"/>
              </w:rPr>
              <w:t>Win</w:t>
            </w:r>
            <w:proofErr w:type="spellEnd"/>
            <w:r>
              <w:rPr>
                <w:rFonts w:ascii="Calibri" w:hAnsi="Calibri" w:cs="Calibri"/>
                <w:b/>
                <w:bCs/>
                <w:color w:val="000000"/>
                <w:sz w:val="12"/>
                <w:szCs w:val="12"/>
              </w:rPr>
              <w:t xml:space="preserve">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03AAA97D"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186F0918"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3D0C4677"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38163487"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-1,9%</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16F29F50"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6534A31C"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-2,9%</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69AB8500"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5,1%</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2B630659"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79E23250"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-6,5%</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26F47C32"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8,8%</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0CA9B294"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-15,6%</w:t>
            </w:r>
          </w:p>
        </w:tc>
        <w:tc>
          <w:tcPr>
            <w:tcW w:w="322" w:type="pct"/>
            <w:tcBorders>
              <w:top w:val="nil"/>
              <w:left w:val="nil"/>
              <w:bottom w:val="single" w:sz="8" w:space="0" w:color="auto"/>
              <w:right w:val="single" w:sz="8" w:space="0" w:color="auto"/>
            </w:tcBorders>
            <w:shd w:val="clear" w:color="000000" w:fill="DCE6F1"/>
            <w:noWrap/>
            <w:vAlign w:val="bottom"/>
            <w:hideMark/>
          </w:tcPr>
          <w:p w14:paraId="62C524E3" w14:textId="2BCE9B32" w:rsidR="005744B8" w:rsidRPr="000E4826" w:rsidRDefault="005744B8" w:rsidP="005744B8">
            <w:pPr>
              <w:jc w:val="center"/>
              <w:rPr>
                <w:rFonts w:ascii="Calibri" w:hAnsi="Calibri"/>
                <w:color w:val="000000"/>
                <w:sz w:val="10"/>
                <w:szCs w:val="10"/>
              </w:rPr>
            </w:pPr>
            <w:r>
              <w:rPr>
                <w:rFonts w:ascii="Calibri" w:hAnsi="Calibri" w:cs="Calibri"/>
                <w:color w:val="000000"/>
                <w:sz w:val="12"/>
                <w:szCs w:val="12"/>
              </w:rPr>
              <w:t>-5,0%</w:t>
            </w:r>
          </w:p>
        </w:tc>
      </w:tr>
      <w:tr w:rsidR="00FB3D8B" w:rsidRPr="00FD5AE7" w14:paraId="7E9D6992" w14:textId="77777777" w:rsidTr="005744B8">
        <w:trPr>
          <w:trHeight w:val="397"/>
        </w:trPr>
        <w:tc>
          <w:tcPr>
            <w:tcW w:w="4678"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E4826" w:rsidRDefault="00FB3D8B" w:rsidP="00DE53E5">
            <w:pPr>
              <w:spacing w:line="240" w:lineRule="auto"/>
              <w:jc w:val="left"/>
              <w:rPr>
                <w:rFonts w:ascii="Calibri" w:hAnsi="Calibri"/>
                <w:bCs/>
                <w:color w:val="000000"/>
                <w:sz w:val="10"/>
                <w:szCs w:val="10"/>
              </w:rPr>
            </w:pPr>
            <w:r w:rsidRPr="000E4826">
              <w:rPr>
                <w:rFonts w:ascii="Calibri" w:hAnsi="Calibri"/>
                <w:bCs/>
                <w:color w:val="000000"/>
                <w:sz w:val="10"/>
                <w:szCs w:val="10"/>
              </w:rPr>
              <w:t xml:space="preserve">Crecimiento </w:t>
            </w:r>
            <w:proofErr w:type="spellStart"/>
            <w:r w:rsidRPr="000E4826">
              <w:rPr>
                <w:rFonts w:ascii="Calibri" w:hAnsi="Calibri"/>
                <w:bCs/>
                <w:color w:val="000000"/>
                <w:sz w:val="10"/>
                <w:szCs w:val="10"/>
              </w:rPr>
              <w:t>Win</w:t>
            </w:r>
            <w:proofErr w:type="spellEnd"/>
            <w:r w:rsidRPr="000E4826">
              <w:rPr>
                <w:rFonts w:ascii="Calibri" w:hAnsi="Calibri"/>
                <w:bCs/>
                <w:color w:val="000000"/>
                <w:sz w:val="10"/>
                <w:szCs w:val="10"/>
              </w:rPr>
              <w:t xml:space="preserve"> </w:t>
            </w:r>
            <w:r w:rsidR="00EB4FB2" w:rsidRPr="000E4826">
              <w:rPr>
                <w:rFonts w:ascii="Calibri" w:hAnsi="Calibri"/>
                <w:bCs/>
                <w:color w:val="000000"/>
                <w:sz w:val="10"/>
                <w:szCs w:val="10"/>
              </w:rPr>
              <w:t>Real (Anual)</w:t>
            </w:r>
          </w:p>
        </w:tc>
        <w:tc>
          <w:tcPr>
            <w:tcW w:w="322" w:type="pct"/>
            <w:tcBorders>
              <w:top w:val="nil"/>
              <w:left w:val="nil"/>
              <w:bottom w:val="single" w:sz="8" w:space="0" w:color="auto"/>
              <w:right w:val="single" w:sz="8" w:space="0" w:color="auto"/>
            </w:tcBorders>
            <w:shd w:val="clear" w:color="000000" w:fill="DCE6F1"/>
            <w:noWrap/>
            <w:vAlign w:val="center"/>
            <w:hideMark/>
          </w:tcPr>
          <w:p w14:paraId="7AF4062A" w14:textId="07666568" w:rsidR="00FB3D8B" w:rsidRPr="000E4826" w:rsidRDefault="000E4826" w:rsidP="00574797">
            <w:pPr>
              <w:jc w:val="center"/>
              <w:rPr>
                <w:rFonts w:ascii="Calibri" w:hAnsi="Calibri"/>
                <w:color w:val="000000"/>
                <w:sz w:val="10"/>
                <w:szCs w:val="10"/>
              </w:rPr>
            </w:pPr>
            <w:r w:rsidRPr="000E4826">
              <w:rPr>
                <w:rFonts w:ascii="Calibri" w:hAnsi="Calibri"/>
                <w:color w:val="000000"/>
                <w:sz w:val="10"/>
                <w:szCs w:val="10"/>
              </w:rPr>
              <w:t>-1</w:t>
            </w:r>
            <w:r w:rsidR="005744B8">
              <w:rPr>
                <w:rFonts w:ascii="Calibri" w:hAnsi="Calibri"/>
                <w:color w:val="000000"/>
                <w:sz w:val="10"/>
                <w:szCs w:val="10"/>
              </w:rPr>
              <w:t>,6</w:t>
            </w:r>
            <w:r w:rsidR="00EB4FB2" w:rsidRPr="000E4826">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77777777"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proofErr w:type="gramStart"/>
      <w:r w:rsidRPr="00EC0FC2">
        <w:rPr>
          <w:sz w:val="18"/>
          <w:szCs w:val="18"/>
        </w:rPr>
        <w:t>que</w:t>
      </w:r>
      <w:proofErr w:type="gramEnd"/>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lastRenderedPageBreak/>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3CEAC29D" w:rsidR="00196290" w:rsidRDefault="005744B8" w:rsidP="00196290">
      <w:pPr>
        <w:pStyle w:val="Prrafodelista"/>
        <w:tabs>
          <w:tab w:val="left" w:pos="0"/>
          <w:tab w:val="left" w:pos="6285"/>
        </w:tabs>
        <w:ind w:left="0"/>
        <w:jc w:val="left"/>
        <w:rPr>
          <w:b/>
        </w:rPr>
      </w:pPr>
      <w:r>
        <w:rPr>
          <w:b/>
          <w:noProof/>
          <w:lang w:val="es-ES_tradnl" w:eastAsia="es-ES_tradnl"/>
        </w:rPr>
        <w:drawing>
          <wp:inline distT="0" distB="0" distL="0" distR="0" wp14:anchorId="5BDDE6B4" wp14:editId="2AD845F1">
            <wp:extent cx="5556329" cy="1909267"/>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936" cy="1917379"/>
                    </a:xfrm>
                    <a:prstGeom prst="rect">
                      <a:avLst/>
                    </a:prstGeom>
                    <a:noFill/>
                  </pic:spPr>
                </pic:pic>
              </a:graphicData>
            </a:graphic>
          </wp:inline>
        </w:drawing>
      </w:r>
    </w:p>
    <w:p w14:paraId="03560E82" w14:textId="17340B1F" w:rsidR="00FB3D8B" w:rsidRDefault="00FB3D8B"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0EB1CBB3" w:rsidR="00FB3D8B" w:rsidRDefault="005744B8" w:rsidP="00FB3D8B">
      <w:pPr>
        <w:pStyle w:val="Prrafodelista"/>
        <w:tabs>
          <w:tab w:val="left" w:pos="0"/>
        </w:tabs>
        <w:ind w:left="0"/>
        <w:jc w:val="left"/>
      </w:pPr>
      <w:r>
        <w:rPr>
          <w:noProof/>
          <w:lang w:val="es-ES_tradnl" w:eastAsia="es-ES_tradnl"/>
        </w:rPr>
        <w:drawing>
          <wp:inline distT="0" distB="0" distL="0" distR="0" wp14:anchorId="4E24E031" wp14:editId="4E4034EE">
            <wp:extent cx="5577637" cy="1915747"/>
            <wp:effectExtent l="0" t="0" r="4445"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9749" cy="1926776"/>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0E6723C1"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14CB463F" w:rsidR="00FB3D8B" w:rsidRDefault="005744B8" w:rsidP="00FB3D8B">
      <w:pPr>
        <w:pStyle w:val="Prrafodelista"/>
        <w:tabs>
          <w:tab w:val="left" w:pos="0"/>
          <w:tab w:val="left" w:pos="6285"/>
        </w:tabs>
        <w:ind w:left="0"/>
        <w:jc w:val="left"/>
        <w:rPr>
          <w:b/>
        </w:rPr>
      </w:pPr>
      <w:r>
        <w:rPr>
          <w:b/>
          <w:noProof/>
          <w:lang w:val="es-ES_tradnl" w:eastAsia="es-ES_tradnl"/>
        </w:rPr>
        <w:drawing>
          <wp:inline distT="0" distB="0" distL="0" distR="0" wp14:anchorId="30F57A02" wp14:editId="467ED9E4">
            <wp:extent cx="5621528" cy="193082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50067" cy="1940625"/>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570BDD03" w14:textId="58CDECE0" w:rsidR="00670528" w:rsidRDefault="00670528" w:rsidP="00FB3D8B">
      <w:pPr>
        <w:pStyle w:val="Prrafodelista"/>
        <w:tabs>
          <w:tab w:val="left" w:pos="0"/>
          <w:tab w:val="left" w:pos="6285"/>
        </w:tabs>
        <w:ind w:left="0"/>
        <w:jc w:val="left"/>
        <w:rPr>
          <w:b/>
        </w:rPr>
      </w:pPr>
    </w:p>
    <w:p w14:paraId="6F054269" w14:textId="37D1ABB5" w:rsidR="00565C48" w:rsidRDefault="00565C48" w:rsidP="00FB3D8B">
      <w:pPr>
        <w:pStyle w:val="Prrafodelista"/>
        <w:tabs>
          <w:tab w:val="left" w:pos="0"/>
          <w:tab w:val="left" w:pos="6285"/>
        </w:tabs>
        <w:ind w:left="0"/>
        <w:jc w:val="left"/>
        <w:rPr>
          <w:b/>
        </w:rPr>
      </w:pPr>
    </w:p>
    <w:p w14:paraId="01B51872" w14:textId="1B779127" w:rsidR="00565C48" w:rsidRDefault="00565C48" w:rsidP="00FB3D8B">
      <w:pPr>
        <w:pStyle w:val="Prrafodelista"/>
        <w:tabs>
          <w:tab w:val="left" w:pos="0"/>
          <w:tab w:val="left" w:pos="6285"/>
        </w:tabs>
        <w:ind w:left="0"/>
        <w:jc w:val="left"/>
        <w:rPr>
          <w:b/>
        </w:rPr>
      </w:pPr>
    </w:p>
    <w:p w14:paraId="55084070" w14:textId="77777777" w:rsidR="00565C48" w:rsidRDefault="00565C48" w:rsidP="00FB3D8B">
      <w:pPr>
        <w:pStyle w:val="Prrafodelista"/>
        <w:tabs>
          <w:tab w:val="left" w:pos="0"/>
          <w:tab w:val="left" w:pos="6285"/>
        </w:tabs>
        <w:ind w:left="0"/>
        <w:jc w:val="left"/>
        <w:rPr>
          <w:b/>
        </w:rPr>
      </w:pPr>
    </w:p>
    <w:p w14:paraId="6844C06C" w14:textId="77777777" w:rsidR="00670528" w:rsidRDefault="00670528" w:rsidP="00FB3D8B">
      <w:pPr>
        <w:pStyle w:val="Prrafodelista"/>
        <w:tabs>
          <w:tab w:val="left" w:pos="0"/>
          <w:tab w:val="left" w:pos="6285"/>
        </w:tabs>
        <w:ind w:left="0"/>
        <w:jc w:val="left"/>
        <w:rPr>
          <w:b/>
        </w:rPr>
      </w:pPr>
    </w:p>
    <w:p w14:paraId="53AA8C7D" w14:textId="4CB1A12D" w:rsidR="00FB3D8B" w:rsidRPr="00EA72CD" w:rsidRDefault="00FB3D8B" w:rsidP="00CF3270">
      <w:pPr>
        <w:pStyle w:val="Prrafodelista"/>
        <w:numPr>
          <w:ilvl w:val="0"/>
          <w:numId w:val="1"/>
        </w:numPr>
        <w:tabs>
          <w:tab w:val="left" w:pos="0"/>
        </w:tabs>
        <w:ind w:left="0"/>
        <w:rPr>
          <w:b/>
        </w:rPr>
      </w:pPr>
      <w:r w:rsidRPr="00EA72CD">
        <w:rPr>
          <w:b/>
        </w:rPr>
        <w:lastRenderedPageBreak/>
        <w:t xml:space="preserve">Ingresos brutos del juego o </w:t>
      </w:r>
      <w:proofErr w:type="spellStart"/>
      <w:r w:rsidRPr="00EA72CD">
        <w:rPr>
          <w:b/>
        </w:rPr>
        <w:t>win</w:t>
      </w:r>
      <w:proofErr w:type="spellEnd"/>
      <w:r w:rsidRPr="00EA72CD">
        <w:rPr>
          <w:b/>
        </w:rPr>
        <w:t xml:space="preserve"> por casino de juego, valores reales (UF): </w:t>
      </w:r>
      <w:r w:rsidR="00EA72CD">
        <w:rPr>
          <w:b/>
        </w:rPr>
        <w:t xml:space="preserve"> </w:t>
      </w:r>
      <w:r w:rsidR="00E9741E">
        <w:rPr>
          <w:b/>
        </w:rPr>
        <w:t>julio</w:t>
      </w:r>
      <w:r w:rsidR="00D2557C">
        <w:rPr>
          <w:b/>
        </w:rPr>
        <w:t xml:space="preserve"> </w:t>
      </w:r>
      <w:r w:rsidRPr="00EA72CD">
        <w:rPr>
          <w:b/>
        </w:rPr>
        <w:t>-</w:t>
      </w:r>
      <w:r w:rsidR="00C742BA" w:rsidRPr="00EA72CD">
        <w:rPr>
          <w:b/>
        </w:rPr>
        <w:t xml:space="preserve"> </w:t>
      </w:r>
      <w:r w:rsidR="00E9741E">
        <w:rPr>
          <w:b/>
        </w:rPr>
        <w:t>agost</w:t>
      </w:r>
      <w:r w:rsidR="00670528">
        <w:rPr>
          <w:b/>
        </w:rPr>
        <w:t>o</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735015F5" w:rsidR="00FB3D8B" w:rsidRDefault="005744B8" w:rsidP="004843DA">
      <w:pPr>
        <w:pStyle w:val="Prrafodelista"/>
        <w:tabs>
          <w:tab w:val="left" w:pos="0"/>
          <w:tab w:val="left" w:pos="360"/>
          <w:tab w:val="left" w:pos="6285"/>
        </w:tabs>
        <w:ind w:left="0" w:hanging="567"/>
        <w:jc w:val="center"/>
        <w:rPr>
          <w:b/>
        </w:rPr>
      </w:pPr>
      <w:r>
        <w:rPr>
          <w:b/>
          <w:noProof/>
          <w:lang w:val="es-ES_tradnl" w:eastAsia="es-ES_tradnl"/>
        </w:rPr>
        <w:drawing>
          <wp:inline distT="0" distB="0" distL="0" distR="0" wp14:anchorId="7E1B1F5D" wp14:editId="5C853948">
            <wp:extent cx="6039395" cy="2616606"/>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8001" cy="2620335"/>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3A001A03" w14:textId="6164DDC4"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E9741E">
        <w:rPr>
          <w:b/>
        </w:rPr>
        <w:t>agosto</w:t>
      </w:r>
      <w:r>
        <w:rPr>
          <w:b/>
        </w:rPr>
        <w:t xml:space="preserve"> de 201</w:t>
      </w:r>
      <w:r w:rsidR="00C742BA">
        <w:rPr>
          <w:b/>
        </w:rPr>
        <w:t>7</w:t>
      </w:r>
      <w:r>
        <w:rPr>
          <w:b/>
        </w:rPr>
        <w:t>, valores nominales ($)</w:t>
      </w:r>
    </w:p>
    <w:p w14:paraId="30F2B916" w14:textId="708473DE" w:rsidR="00FB3D8B" w:rsidRDefault="005744B8" w:rsidP="00FB3D8B">
      <w:pPr>
        <w:tabs>
          <w:tab w:val="left" w:pos="0"/>
          <w:tab w:val="left" w:pos="6285"/>
        </w:tabs>
        <w:jc w:val="center"/>
        <w:rPr>
          <w:szCs w:val="21"/>
        </w:rPr>
      </w:pPr>
      <w:r>
        <w:rPr>
          <w:noProof/>
          <w:szCs w:val="21"/>
          <w:lang w:val="es-ES_tradnl" w:eastAsia="es-ES_tradnl"/>
        </w:rPr>
        <w:drawing>
          <wp:inline distT="0" distB="0" distL="0" distR="0" wp14:anchorId="43DAB03D" wp14:editId="340A729E">
            <wp:extent cx="4878688" cy="355287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3363" cy="3556280"/>
                    </a:xfrm>
                    <a:prstGeom prst="rect">
                      <a:avLst/>
                    </a:prstGeom>
                    <a:noFill/>
                  </pic:spPr>
                </pic:pic>
              </a:graphicData>
            </a:graphic>
          </wp:inline>
        </w:drawing>
      </w:r>
    </w:p>
    <w:p w14:paraId="1302FA5D" w14:textId="77777777" w:rsidR="00670528" w:rsidRDefault="00670528" w:rsidP="00FB3D8B">
      <w:pPr>
        <w:tabs>
          <w:tab w:val="left" w:pos="0"/>
          <w:tab w:val="left" w:pos="6285"/>
        </w:tabs>
        <w:jc w:val="center"/>
        <w:rPr>
          <w:szCs w:val="21"/>
        </w:rPr>
      </w:pPr>
    </w:p>
    <w:p w14:paraId="7B7FE844" w14:textId="6D5BD0BD" w:rsidR="00FB3D8B" w:rsidRDefault="00FB3D8B" w:rsidP="00A32D29">
      <w:pPr>
        <w:pStyle w:val="Prrafodelista"/>
        <w:numPr>
          <w:ilvl w:val="0"/>
          <w:numId w:val="1"/>
        </w:numPr>
        <w:tabs>
          <w:tab w:val="left" w:pos="0"/>
          <w:tab w:val="left" w:pos="6285"/>
        </w:tabs>
        <w:ind w:left="0"/>
        <w:jc w:val="center"/>
        <w:rPr>
          <w:szCs w:val="21"/>
        </w:rPr>
      </w:pPr>
      <w:r w:rsidRPr="00E660DE">
        <w:rPr>
          <w:b/>
        </w:rPr>
        <w:t xml:space="preserve">Monto total apostado máquinas de azar, valores nominales ($): </w:t>
      </w:r>
      <w:r w:rsidR="00E9741E">
        <w:rPr>
          <w:b/>
        </w:rPr>
        <w:t>agosto</w:t>
      </w:r>
      <w:r w:rsidR="000D553D" w:rsidRPr="00E660DE">
        <w:rPr>
          <w:b/>
        </w:rPr>
        <w:t xml:space="preserve"> de 2017</w:t>
      </w:r>
    </w:p>
    <w:p w14:paraId="46B45F1F" w14:textId="5A651950" w:rsidR="00670528" w:rsidRDefault="00670528" w:rsidP="00670528">
      <w:pPr>
        <w:pStyle w:val="Prrafodelista"/>
        <w:tabs>
          <w:tab w:val="left" w:pos="0"/>
          <w:tab w:val="left" w:pos="6285"/>
        </w:tabs>
        <w:ind w:left="0"/>
        <w:rPr>
          <w:noProof/>
          <w:szCs w:val="21"/>
        </w:rPr>
      </w:pPr>
    </w:p>
    <w:p w14:paraId="73890586" w14:textId="077840BF" w:rsidR="00670528" w:rsidRPr="00E660DE" w:rsidRDefault="005744B8" w:rsidP="00670528">
      <w:pPr>
        <w:pStyle w:val="Prrafodelista"/>
        <w:tabs>
          <w:tab w:val="left" w:pos="0"/>
          <w:tab w:val="left" w:pos="6285"/>
        </w:tabs>
        <w:ind w:left="0"/>
        <w:jc w:val="center"/>
        <w:rPr>
          <w:szCs w:val="21"/>
        </w:rPr>
      </w:pPr>
      <w:r>
        <w:rPr>
          <w:noProof/>
          <w:szCs w:val="21"/>
          <w:lang w:val="es-ES_tradnl" w:eastAsia="es-ES_tradnl"/>
        </w:rPr>
        <w:lastRenderedPageBreak/>
        <w:drawing>
          <wp:inline distT="0" distB="0" distL="0" distR="0" wp14:anchorId="1F84CBA3" wp14:editId="3C6C65D3">
            <wp:extent cx="2743200" cy="3310155"/>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4103" cy="3311244"/>
                    </a:xfrm>
                    <a:prstGeom prst="rect">
                      <a:avLst/>
                    </a:prstGeom>
                    <a:noFill/>
                  </pic:spPr>
                </pic:pic>
              </a:graphicData>
            </a:graphic>
          </wp:inline>
        </w:drawing>
      </w:r>
    </w:p>
    <w:p w14:paraId="74FE766E" w14:textId="77777777" w:rsidR="00FB3D8B" w:rsidRDefault="00FB3D8B" w:rsidP="00FB3D8B">
      <w:pPr>
        <w:tabs>
          <w:tab w:val="left" w:pos="0"/>
          <w:tab w:val="left" w:pos="6285"/>
        </w:tabs>
        <w:jc w:val="center"/>
        <w:rPr>
          <w:szCs w:val="21"/>
        </w:rPr>
      </w:pPr>
    </w:p>
    <w:p w14:paraId="6112525E" w14:textId="56662912"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E9741E">
        <w:rPr>
          <w:b/>
        </w:rPr>
        <w:t>agosto</w:t>
      </w:r>
      <w:r w:rsidRPr="00EA72CD">
        <w:rPr>
          <w:b/>
        </w:rPr>
        <w:t xml:space="preserve"> de 201</w:t>
      </w:r>
      <w:r w:rsidR="00C742BA" w:rsidRPr="00EA72CD">
        <w:rPr>
          <w:b/>
        </w:rPr>
        <w:t>7</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5744B8" w:rsidRPr="005744B8" w14:paraId="7E029D65" w14:textId="77777777" w:rsidTr="005744B8">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20DDF4BC" w14:textId="75A8AFC2" w:rsidR="005744B8" w:rsidRPr="005744B8" w:rsidRDefault="005744B8" w:rsidP="005744B8">
            <w:pPr>
              <w:spacing w:after="0" w:line="240" w:lineRule="auto"/>
              <w:jc w:val="center"/>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 xml:space="preserve">MÁQUINAS DE AZAR: Montos Apostados y Premios Ganados ($ </w:t>
            </w:r>
            <w:proofErr w:type="gramStart"/>
            <w:r w:rsidRPr="005744B8">
              <w:rPr>
                <w:rFonts w:ascii="Calibri" w:eastAsia="Times New Roman" w:hAnsi="Calibri" w:cs="Calibri"/>
                <w:b/>
                <w:bCs/>
                <w:color w:val="FFFFFF"/>
                <w:sz w:val="18"/>
                <w:szCs w:val="18"/>
                <w:lang w:eastAsia="es-CL"/>
              </w:rPr>
              <w:t xml:space="preserve">Millones)   </w:t>
            </w:r>
            <w:proofErr w:type="gramEnd"/>
            <w:r w:rsidRPr="005744B8">
              <w:rPr>
                <w:rFonts w:ascii="Calibri" w:eastAsia="Times New Roman" w:hAnsi="Calibri" w:cs="Calibri"/>
                <w:b/>
                <w:bCs/>
                <w:color w:val="FFFFFF"/>
                <w:sz w:val="18"/>
                <w:szCs w:val="18"/>
                <w:lang w:eastAsia="es-CL"/>
              </w:rPr>
              <w:t xml:space="preserve">                                                                                                    Agosto 2017 ($ Millones)</w:t>
            </w:r>
          </w:p>
        </w:tc>
      </w:tr>
      <w:tr w:rsidR="005744B8" w:rsidRPr="005744B8" w14:paraId="6DA6BD4F" w14:textId="77777777" w:rsidTr="005744B8">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455D285F" w14:textId="77777777" w:rsidR="005744B8" w:rsidRPr="005744B8" w:rsidRDefault="005744B8" w:rsidP="005744B8">
            <w:pPr>
              <w:spacing w:after="0" w:line="240" w:lineRule="auto"/>
              <w:jc w:val="center"/>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21E2A7F2" w14:textId="77777777" w:rsidR="005744B8" w:rsidRPr="005744B8" w:rsidRDefault="005744B8" w:rsidP="005744B8">
            <w:pPr>
              <w:spacing w:after="0" w:line="240" w:lineRule="auto"/>
              <w:jc w:val="center"/>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0F51A3D1" w14:textId="77777777" w:rsidR="005744B8" w:rsidRPr="005744B8" w:rsidRDefault="005744B8" w:rsidP="005744B8">
            <w:pPr>
              <w:spacing w:after="0" w:line="240" w:lineRule="auto"/>
              <w:jc w:val="center"/>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4A06458B" w14:textId="77777777" w:rsidR="005744B8" w:rsidRPr="005744B8" w:rsidRDefault="005744B8" w:rsidP="005744B8">
            <w:pPr>
              <w:spacing w:after="0" w:line="240" w:lineRule="auto"/>
              <w:jc w:val="center"/>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 xml:space="preserve">Porcentaje de retorno </w:t>
            </w:r>
          </w:p>
        </w:tc>
      </w:tr>
      <w:tr w:rsidR="005744B8" w:rsidRPr="005744B8" w14:paraId="1835815A" w14:textId="77777777" w:rsidTr="005744B8">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0B97B68"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Marina del Sol Calama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56C01A6C"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12.455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22C292AE"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11.592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1D81D0D7"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93,1%</w:t>
            </w:r>
          </w:p>
        </w:tc>
      </w:tr>
      <w:tr w:rsidR="005744B8" w:rsidRPr="005744B8" w14:paraId="28A8E9BE"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7B02AD7" w14:textId="77777777" w:rsidR="005744B8" w:rsidRPr="005744B8" w:rsidRDefault="005744B8" w:rsidP="005744B8">
            <w:pPr>
              <w:spacing w:after="0" w:line="240" w:lineRule="auto"/>
              <w:jc w:val="left"/>
              <w:rPr>
                <w:rFonts w:ascii="Calibri" w:eastAsia="Times New Roman" w:hAnsi="Calibri" w:cs="Calibri"/>
                <w:b/>
                <w:bCs/>
                <w:sz w:val="18"/>
                <w:szCs w:val="18"/>
                <w:lang w:eastAsia="es-CL"/>
              </w:rPr>
            </w:pPr>
            <w:proofErr w:type="spellStart"/>
            <w:r w:rsidRPr="005744B8">
              <w:rPr>
                <w:rFonts w:ascii="Calibri" w:eastAsia="Times New Roman" w:hAnsi="Calibri" w:cs="Calibri"/>
                <w:b/>
                <w:bCs/>
                <w:sz w:val="18"/>
                <w:szCs w:val="18"/>
                <w:lang w:eastAsia="es-CL"/>
              </w:rPr>
              <w:t>Enjoy</w:t>
            </w:r>
            <w:proofErr w:type="spellEnd"/>
            <w:r w:rsidRPr="005744B8">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1C686F72"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26.765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D882D1F"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24.949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C37EDC2"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93,2%</w:t>
            </w:r>
          </w:p>
        </w:tc>
      </w:tr>
      <w:tr w:rsidR="005744B8" w:rsidRPr="005744B8" w14:paraId="2B119951"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31BF5B0"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proofErr w:type="spellStart"/>
            <w:r w:rsidRPr="005744B8">
              <w:rPr>
                <w:rFonts w:ascii="Calibri" w:eastAsia="Times New Roman" w:hAnsi="Calibri" w:cs="Calibri"/>
                <w:b/>
                <w:bCs/>
                <w:color w:val="000000"/>
                <w:sz w:val="18"/>
                <w:szCs w:val="18"/>
                <w:lang w:eastAsia="es-CL"/>
              </w:rPr>
              <w:t>Antay</w:t>
            </w:r>
            <w:proofErr w:type="spellEnd"/>
            <w:r w:rsidRPr="005744B8">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12AD4EB6"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13.183 </w:t>
            </w:r>
          </w:p>
        </w:tc>
        <w:tc>
          <w:tcPr>
            <w:tcW w:w="2528" w:type="dxa"/>
            <w:tcBorders>
              <w:top w:val="nil"/>
              <w:left w:val="nil"/>
              <w:bottom w:val="single" w:sz="4" w:space="0" w:color="808080"/>
              <w:right w:val="single" w:sz="4" w:space="0" w:color="808080"/>
            </w:tcBorders>
            <w:shd w:val="clear" w:color="000000" w:fill="FFFFFF"/>
            <w:noWrap/>
            <w:vAlign w:val="bottom"/>
            <w:hideMark/>
          </w:tcPr>
          <w:p w14:paraId="1DB153A4"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12.378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36E284E8"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93,9%</w:t>
            </w:r>
          </w:p>
        </w:tc>
      </w:tr>
      <w:tr w:rsidR="005744B8" w:rsidRPr="005744B8" w14:paraId="7A5A16B8"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D337484"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1A09DFB8"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3.758 </w:t>
            </w:r>
          </w:p>
        </w:tc>
        <w:tc>
          <w:tcPr>
            <w:tcW w:w="2528" w:type="dxa"/>
            <w:tcBorders>
              <w:top w:val="nil"/>
              <w:left w:val="nil"/>
              <w:bottom w:val="single" w:sz="4" w:space="0" w:color="808080"/>
              <w:right w:val="single" w:sz="4" w:space="0" w:color="808080"/>
            </w:tcBorders>
            <w:shd w:val="clear" w:color="000000" w:fill="FFFFFF"/>
            <w:noWrap/>
            <w:vAlign w:val="bottom"/>
            <w:hideMark/>
          </w:tcPr>
          <w:p w14:paraId="07D861AD"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3.569 </w:t>
            </w:r>
          </w:p>
        </w:tc>
        <w:tc>
          <w:tcPr>
            <w:tcW w:w="1177" w:type="dxa"/>
            <w:tcBorders>
              <w:top w:val="nil"/>
              <w:left w:val="nil"/>
              <w:bottom w:val="single" w:sz="4" w:space="0" w:color="808080"/>
              <w:right w:val="single" w:sz="4" w:space="0" w:color="808080"/>
            </w:tcBorders>
            <w:shd w:val="clear" w:color="000000" w:fill="FFFFFF"/>
            <w:noWrap/>
            <w:vAlign w:val="bottom"/>
            <w:hideMark/>
          </w:tcPr>
          <w:p w14:paraId="1327D66F"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95,0%</w:t>
            </w:r>
          </w:p>
        </w:tc>
      </w:tr>
      <w:tr w:rsidR="005744B8" w:rsidRPr="005744B8" w14:paraId="44CAA11B"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D268C19"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7AD993A3"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8.803 </w:t>
            </w:r>
          </w:p>
        </w:tc>
        <w:tc>
          <w:tcPr>
            <w:tcW w:w="2528" w:type="dxa"/>
            <w:tcBorders>
              <w:top w:val="nil"/>
              <w:left w:val="nil"/>
              <w:bottom w:val="single" w:sz="4" w:space="0" w:color="808080"/>
              <w:right w:val="single" w:sz="4" w:space="0" w:color="808080"/>
            </w:tcBorders>
            <w:shd w:val="clear" w:color="000000" w:fill="FFFFFF"/>
            <w:noWrap/>
            <w:vAlign w:val="bottom"/>
            <w:hideMark/>
          </w:tcPr>
          <w:p w14:paraId="0801DE76"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8.205 </w:t>
            </w:r>
          </w:p>
        </w:tc>
        <w:tc>
          <w:tcPr>
            <w:tcW w:w="1177" w:type="dxa"/>
            <w:tcBorders>
              <w:top w:val="nil"/>
              <w:left w:val="nil"/>
              <w:bottom w:val="single" w:sz="4" w:space="0" w:color="808080"/>
              <w:right w:val="single" w:sz="4" w:space="0" w:color="808080"/>
            </w:tcBorders>
            <w:shd w:val="clear" w:color="000000" w:fill="FFFFFF"/>
            <w:noWrap/>
            <w:vAlign w:val="bottom"/>
            <w:hideMark/>
          </w:tcPr>
          <w:p w14:paraId="4AC00D4A"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93,2%</w:t>
            </w:r>
          </w:p>
        </w:tc>
      </w:tr>
      <w:tr w:rsidR="005744B8" w:rsidRPr="005744B8" w14:paraId="306CE309"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C935EC1"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2CA6D2B4"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41.098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6EE0CE6"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38.478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45718E4C"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93,6%</w:t>
            </w:r>
          </w:p>
        </w:tc>
      </w:tr>
      <w:tr w:rsidR="005744B8" w:rsidRPr="005744B8" w14:paraId="5BA48702"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C4E998C"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proofErr w:type="spellStart"/>
            <w:r w:rsidRPr="005744B8">
              <w:rPr>
                <w:rFonts w:ascii="Calibri" w:eastAsia="Times New Roman" w:hAnsi="Calibri" w:cs="Calibri"/>
                <w:b/>
                <w:bCs/>
                <w:color w:val="000000"/>
                <w:sz w:val="18"/>
                <w:szCs w:val="18"/>
                <w:lang w:eastAsia="es-CL"/>
              </w:rPr>
              <w:t>Sun</w:t>
            </w:r>
            <w:proofErr w:type="spellEnd"/>
            <w:r w:rsidRPr="005744B8">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4E65826D"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85.751 </w:t>
            </w:r>
          </w:p>
        </w:tc>
        <w:tc>
          <w:tcPr>
            <w:tcW w:w="2528" w:type="dxa"/>
            <w:tcBorders>
              <w:top w:val="nil"/>
              <w:left w:val="nil"/>
              <w:bottom w:val="single" w:sz="4" w:space="0" w:color="808080"/>
              <w:right w:val="single" w:sz="4" w:space="0" w:color="808080"/>
            </w:tcBorders>
            <w:shd w:val="clear" w:color="000000" w:fill="FFFFFF"/>
            <w:noWrap/>
            <w:vAlign w:val="bottom"/>
            <w:hideMark/>
          </w:tcPr>
          <w:p w14:paraId="27495F06"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81.164 </w:t>
            </w:r>
          </w:p>
        </w:tc>
        <w:tc>
          <w:tcPr>
            <w:tcW w:w="1177" w:type="dxa"/>
            <w:tcBorders>
              <w:top w:val="nil"/>
              <w:left w:val="nil"/>
              <w:bottom w:val="single" w:sz="4" w:space="0" w:color="808080"/>
              <w:right w:val="single" w:sz="4" w:space="0" w:color="808080"/>
            </w:tcBorders>
            <w:shd w:val="clear" w:color="000000" w:fill="FFFFFF"/>
            <w:noWrap/>
            <w:vAlign w:val="bottom"/>
            <w:hideMark/>
          </w:tcPr>
          <w:p w14:paraId="44CF3156"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94,7%</w:t>
            </w:r>
          </w:p>
        </w:tc>
      </w:tr>
      <w:tr w:rsidR="005744B8" w:rsidRPr="005744B8" w14:paraId="20FC7F6F"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1DC3E9A"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095A82D9"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5.584 </w:t>
            </w:r>
          </w:p>
        </w:tc>
        <w:tc>
          <w:tcPr>
            <w:tcW w:w="2528" w:type="dxa"/>
            <w:tcBorders>
              <w:top w:val="nil"/>
              <w:left w:val="nil"/>
              <w:bottom w:val="single" w:sz="4" w:space="0" w:color="808080"/>
              <w:right w:val="single" w:sz="4" w:space="0" w:color="808080"/>
            </w:tcBorders>
            <w:shd w:val="clear" w:color="000000" w:fill="FFFFFF"/>
            <w:noWrap/>
            <w:vAlign w:val="bottom"/>
            <w:hideMark/>
          </w:tcPr>
          <w:p w14:paraId="705A7DB2"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5.160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5A94FEB6"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92,4%</w:t>
            </w:r>
          </w:p>
        </w:tc>
      </w:tr>
      <w:tr w:rsidR="005744B8" w:rsidRPr="005744B8" w14:paraId="6B3D2102"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1B18DB5"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63961E10"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12.660 </w:t>
            </w:r>
          </w:p>
        </w:tc>
        <w:tc>
          <w:tcPr>
            <w:tcW w:w="2528" w:type="dxa"/>
            <w:tcBorders>
              <w:top w:val="nil"/>
              <w:left w:val="nil"/>
              <w:bottom w:val="single" w:sz="4" w:space="0" w:color="808080"/>
              <w:right w:val="single" w:sz="4" w:space="0" w:color="808080"/>
            </w:tcBorders>
            <w:shd w:val="clear" w:color="000000" w:fill="FFFFFF"/>
            <w:noWrap/>
            <w:vAlign w:val="bottom"/>
            <w:hideMark/>
          </w:tcPr>
          <w:p w14:paraId="110C2654"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11.827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1A27282E"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93,4%</w:t>
            </w:r>
          </w:p>
        </w:tc>
      </w:tr>
      <w:tr w:rsidR="005744B8" w:rsidRPr="005744B8" w14:paraId="38E7319E"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32841B0"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A6CCF6F"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47.429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B5EAEA4"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44.562 </w:t>
            </w:r>
          </w:p>
        </w:tc>
        <w:tc>
          <w:tcPr>
            <w:tcW w:w="1177" w:type="dxa"/>
            <w:tcBorders>
              <w:top w:val="nil"/>
              <w:left w:val="nil"/>
              <w:bottom w:val="single" w:sz="4" w:space="0" w:color="808080"/>
              <w:right w:val="single" w:sz="4" w:space="0" w:color="808080"/>
            </w:tcBorders>
            <w:shd w:val="clear" w:color="000000" w:fill="FFFFFF"/>
            <w:noWrap/>
            <w:vAlign w:val="bottom"/>
            <w:hideMark/>
          </w:tcPr>
          <w:p w14:paraId="1A5E90D6"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94,0%</w:t>
            </w:r>
          </w:p>
        </w:tc>
      </w:tr>
      <w:tr w:rsidR="005744B8" w:rsidRPr="005744B8" w14:paraId="1254C78B"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8674601"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 xml:space="preserve">Casino Gran Los </w:t>
            </w:r>
            <w:proofErr w:type="spellStart"/>
            <w:r w:rsidRPr="005744B8">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4CF55267"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5.165 </w:t>
            </w:r>
          </w:p>
        </w:tc>
        <w:tc>
          <w:tcPr>
            <w:tcW w:w="2528" w:type="dxa"/>
            <w:tcBorders>
              <w:top w:val="nil"/>
              <w:left w:val="nil"/>
              <w:bottom w:val="single" w:sz="4" w:space="0" w:color="808080"/>
              <w:right w:val="single" w:sz="4" w:space="0" w:color="808080"/>
            </w:tcBorders>
            <w:shd w:val="clear" w:color="000000" w:fill="FFFFFF"/>
            <w:noWrap/>
            <w:vAlign w:val="bottom"/>
            <w:hideMark/>
          </w:tcPr>
          <w:p w14:paraId="7A67228A"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4.891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1A50244"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94,7%</w:t>
            </w:r>
          </w:p>
        </w:tc>
      </w:tr>
      <w:tr w:rsidR="005744B8" w:rsidRPr="005744B8" w14:paraId="47A07205"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5977D4FE" w14:textId="77777777" w:rsidR="005744B8" w:rsidRPr="005744B8" w:rsidRDefault="005744B8" w:rsidP="005744B8">
            <w:pPr>
              <w:spacing w:after="0" w:line="240" w:lineRule="auto"/>
              <w:jc w:val="left"/>
              <w:rPr>
                <w:rFonts w:ascii="Calibri" w:eastAsia="Times New Roman" w:hAnsi="Calibri" w:cs="Calibri"/>
                <w:b/>
                <w:bCs/>
                <w:sz w:val="18"/>
                <w:szCs w:val="18"/>
                <w:lang w:eastAsia="es-CL"/>
              </w:rPr>
            </w:pPr>
            <w:r w:rsidRPr="005744B8">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53308A3"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28.594 </w:t>
            </w:r>
          </w:p>
        </w:tc>
        <w:tc>
          <w:tcPr>
            <w:tcW w:w="2528" w:type="dxa"/>
            <w:tcBorders>
              <w:top w:val="nil"/>
              <w:left w:val="nil"/>
              <w:bottom w:val="single" w:sz="4" w:space="0" w:color="808080"/>
              <w:right w:val="single" w:sz="4" w:space="0" w:color="808080"/>
            </w:tcBorders>
            <w:shd w:val="clear" w:color="000000" w:fill="FFFFFF"/>
            <w:noWrap/>
            <w:vAlign w:val="bottom"/>
            <w:hideMark/>
          </w:tcPr>
          <w:p w14:paraId="71DF326C"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26.901 </w:t>
            </w:r>
          </w:p>
        </w:tc>
        <w:tc>
          <w:tcPr>
            <w:tcW w:w="1177" w:type="dxa"/>
            <w:tcBorders>
              <w:top w:val="nil"/>
              <w:left w:val="nil"/>
              <w:bottom w:val="single" w:sz="4" w:space="0" w:color="808080"/>
              <w:right w:val="single" w:sz="4" w:space="0" w:color="808080"/>
            </w:tcBorders>
            <w:shd w:val="clear" w:color="000000" w:fill="FFFFFF"/>
            <w:noWrap/>
            <w:vAlign w:val="bottom"/>
            <w:hideMark/>
          </w:tcPr>
          <w:p w14:paraId="1A9E57F1"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94,1%</w:t>
            </w:r>
          </w:p>
        </w:tc>
      </w:tr>
      <w:tr w:rsidR="005744B8" w:rsidRPr="005744B8" w14:paraId="3E326DE4"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1430FDE"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34C4A0A0"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14.686 </w:t>
            </w:r>
          </w:p>
        </w:tc>
        <w:tc>
          <w:tcPr>
            <w:tcW w:w="2528" w:type="dxa"/>
            <w:tcBorders>
              <w:top w:val="nil"/>
              <w:left w:val="nil"/>
              <w:bottom w:val="single" w:sz="4" w:space="0" w:color="808080"/>
              <w:right w:val="single" w:sz="4" w:space="0" w:color="808080"/>
            </w:tcBorders>
            <w:shd w:val="clear" w:color="000000" w:fill="FFFFFF"/>
            <w:noWrap/>
            <w:vAlign w:val="bottom"/>
            <w:hideMark/>
          </w:tcPr>
          <w:p w14:paraId="7652E008"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13.816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4697ECD"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94,1%</w:t>
            </w:r>
          </w:p>
        </w:tc>
      </w:tr>
      <w:tr w:rsidR="005744B8" w:rsidRPr="005744B8" w14:paraId="343DBC20"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FAEA17D"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9761432"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10.673 </w:t>
            </w:r>
          </w:p>
        </w:tc>
        <w:tc>
          <w:tcPr>
            <w:tcW w:w="2528" w:type="dxa"/>
            <w:tcBorders>
              <w:top w:val="nil"/>
              <w:left w:val="nil"/>
              <w:bottom w:val="single" w:sz="4" w:space="0" w:color="808080"/>
              <w:right w:val="single" w:sz="4" w:space="0" w:color="808080"/>
            </w:tcBorders>
            <w:shd w:val="clear" w:color="000000" w:fill="FFFFFF"/>
            <w:noWrap/>
            <w:vAlign w:val="bottom"/>
            <w:hideMark/>
          </w:tcPr>
          <w:p w14:paraId="21F1AF90"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9.980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FE8E248"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93,5%</w:t>
            </w:r>
          </w:p>
        </w:tc>
      </w:tr>
      <w:tr w:rsidR="005744B8" w:rsidRPr="005744B8" w14:paraId="6261956B"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F66D48B"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proofErr w:type="spellStart"/>
            <w:r w:rsidRPr="005744B8">
              <w:rPr>
                <w:rFonts w:ascii="Calibri" w:eastAsia="Times New Roman" w:hAnsi="Calibri" w:cs="Calibri"/>
                <w:b/>
                <w:bCs/>
                <w:color w:val="000000"/>
                <w:sz w:val="18"/>
                <w:szCs w:val="18"/>
                <w:lang w:eastAsia="es-CL"/>
              </w:rPr>
              <w:t>Enjoy</w:t>
            </w:r>
            <w:proofErr w:type="spellEnd"/>
            <w:r w:rsidRPr="005744B8">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66F4A5D2"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3.567 </w:t>
            </w:r>
          </w:p>
        </w:tc>
        <w:tc>
          <w:tcPr>
            <w:tcW w:w="2528" w:type="dxa"/>
            <w:tcBorders>
              <w:top w:val="nil"/>
              <w:left w:val="nil"/>
              <w:bottom w:val="single" w:sz="4" w:space="0" w:color="808080"/>
              <w:right w:val="single" w:sz="4" w:space="0" w:color="808080"/>
            </w:tcBorders>
            <w:shd w:val="clear" w:color="000000" w:fill="FFFFFF"/>
            <w:noWrap/>
            <w:vAlign w:val="bottom"/>
            <w:hideMark/>
          </w:tcPr>
          <w:p w14:paraId="528A5483"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3.316 </w:t>
            </w:r>
          </w:p>
        </w:tc>
        <w:tc>
          <w:tcPr>
            <w:tcW w:w="1177" w:type="dxa"/>
            <w:tcBorders>
              <w:top w:val="nil"/>
              <w:left w:val="nil"/>
              <w:bottom w:val="single" w:sz="4" w:space="0" w:color="808080"/>
              <w:right w:val="single" w:sz="4" w:space="0" w:color="808080"/>
            </w:tcBorders>
            <w:shd w:val="clear" w:color="000000" w:fill="FFFFFF"/>
            <w:noWrap/>
            <w:vAlign w:val="bottom"/>
            <w:hideMark/>
          </w:tcPr>
          <w:p w14:paraId="1FD8FCA9"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93,0%</w:t>
            </w:r>
          </w:p>
        </w:tc>
      </w:tr>
      <w:tr w:rsidR="005744B8" w:rsidRPr="005744B8" w14:paraId="29B39459" w14:textId="77777777" w:rsidTr="005744B8">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4AE0249"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329A913F"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5.746 </w:t>
            </w:r>
          </w:p>
        </w:tc>
        <w:tc>
          <w:tcPr>
            <w:tcW w:w="2528" w:type="dxa"/>
            <w:tcBorders>
              <w:top w:val="nil"/>
              <w:left w:val="nil"/>
              <w:bottom w:val="single" w:sz="4" w:space="0" w:color="808080"/>
              <w:right w:val="single" w:sz="4" w:space="0" w:color="808080"/>
            </w:tcBorders>
            <w:shd w:val="clear" w:color="000000" w:fill="FFFFFF"/>
            <w:noWrap/>
            <w:vAlign w:val="bottom"/>
            <w:hideMark/>
          </w:tcPr>
          <w:p w14:paraId="6EC2F8D9"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5.378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48D18A4D"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93,6%</w:t>
            </w:r>
          </w:p>
        </w:tc>
      </w:tr>
      <w:tr w:rsidR="005744B8" w:rsidRPr="005744B8" w14:paraId="6FB24A7D" w14:textId="77777777" w:rsidTr="005744B8">
        <w:trPr>
          <w:trHeight w:val="300"/>
        </w:trPr>
        <w:tc>
          <w:tcPr>
            <w:tcW w:w="2379" w:type="dxa"/>
            <w:tcBorders>
              <w:top w:val="nil"/>
              <w:left w:val="nil"/>
              <w:bottom w:val="nil"/>
              <w:right w:val="nil"/>
            </w:tcBorders>
            <w:shd w:val="clear" w:color="000000" w:fill="FFFFFF"/>
            <w:noWrap/>
            <w:vAlign w:val="bottom"/>
            <w:hideMark/>
          </w:tcPr>
          <w:p w14:paraId="694EF525" w14:textId="77777777" w:rsidR="005744B8" w:rsidRPr="005744B8" w:rsidRDefault="005744B8" w:rsidP="005744B8">
            <w:pPr>
              <w:spacing w:after="0" w:line="240" w:lineRule="auto"/>
              <w:jc w:val="left"/>
              <w:rPr>
                <w:rFonts w:ascii="Calibri" w:eastAsia="Times New Roman" w:hAnsi="Calibri" w:cs="Calibri"/>
                <w:b/>
                <w:bCs/>
                <w:color w:val="000000"/>
                <w:sz w:val="18"/>
                <w:szCs w:val="18"/>
                <w:lang w:eastAsia="es-CL"/>
              </w:rPr>
            </w:pPr>
            <w:r w:rsidRPr="005744B8">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151F6BFA"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20.278 </w:t>
            </w:r>
          </w:p>
        </w:tc>
        <w:tc>
          <w:tcPr>
            <w:tcW w:w="2528" w:type="dxa"/>
            <w:tcBorders>
              <w:top w:val="nil"/>
              <w:left w:val="nil"/>
              <w:bottom w:val="single" w:sz="4" w:space="0" w:color="808080"/>
              <w:right w:val="single" w:sz="4" w:space="0" w:color="808080"/>
            </w:tcBorders>
            <w:shd w:val="clear" w:color="000000" w:fill="FFFFFF"/>
            <w:noWrap/>
            <w:vAlign w:val="bottom"/>
            <w:hideMark/>
          </w:tcPr>
          <w:p w14:paraId="717E1FFF"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 xml:space="preserve">18.867 </w:t>
            </w:r>
          </w:p>
        </w:tc>
        <w:tc>
          <w:tcPr>
            <w:tcW w:w="1177" w:type="dxa"/>
            <w:tcBorders>
              <w:top w:val="nil"/>
              <w:left w:val="nil"/>
              <w:bottom w:val="single" w:sz="4" w:space="0" w:color="808080"/>
              <w:right w:val="single" w:sz="4" w:space="0" w:color="808080"/>
            </w:tcBorders>
            <w:shd w:val="clear" w:color="000000" w:fill="FFFFFF"/>
            <w:noWrap/>
            <w:vAlign w:val="bottom"/>
            <w:hideMark/>
          </w:tcPr>
          <w:p w14:paraId="0E9E7319" w14:textId="77777777" w:rsidR="005744B8" w:rsidRPr="005744B8" w:rsidRDefault="005744B8" w:rsidP="005744B8">
            <w:pPr>
              <w:spacing w:after="0" w:line="240" w:lineRule="auto"/>
              <w:jc w:val="right"/>
              <w:rPr>
                <w:rFonts w:ascii="Calibri" w:eastAsia="Times New Roman" w:hAnsi="Calibri" w:cs="Calibri"/>
                <w:sz w:val="18"/>
                <w:szCs w:val="18"/>
                <w:lang w:eastAsia="es-CL"/>
              </w:rPr>
            </w:pPr>
            <w:r w:rsidRPr="005744B8">
              <w:rPr>
                <w:rFonts w:ascii="Calibri" w:eastAsia="Times New Roman" w:hAnsi="Calibri" w:cs="Calibri"/>
                <w:sz w:val="18"/>
                <w:szCs w:val="18"/>
                <w:lang w:eastAsia="es-CL"/>
              </w:rPr>
              <w:t>93,0%</w:t>
            </w:r>
          </w:p>
        </w:tc>
      </w:tr>
      <w:tr w:rsidR="005744B8" w:rsidRPr="005744B8" w14:paraId="00195340" w14:textId="77777777" w:rsidTr="005744B8">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5E09765" w14:textId="77777777" w:rsidR="005744B8" w:rsidRPr="005744B8" w:rsidRDefault="005744B8" w:rsidP="005744B8">
            <w:pPr>
              <w:spacing w:after="0" w:line="240" w:lineRule="auto"/>
              <w:jc w:val="left"/>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341CCC71" w14:textId="77777777" w:rsidR="005744B8" w:rsidRPr="005744B8" w:rsidRDefault="005744B8" w:rsidP="005744B8">
            <w:pPr>
              <w:spacing w:after="0" w:line="240" w:lineRule="auto"/>
              <w:jc w:val="right"/>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 xml:space="preserve">346.196 </w:t>
            </w:r>
          </w:p>
        </w:tc>
        <w:tc>
          <w:tcPr>
            <w:tcW w:w="2528" w:type="dxa"/>
            <w:tcBorders>
              <w:top w:val="nil"/>
              <w:left w:val="nil"/>
              <w:bottom w:val="single" w:sz="4" w:space="0" w:color="808080"/>
              <w:right w:val="single" w:sz="4" w:space="0" w:color="808080"/>
            </w:tcBorders>
            <w:shd w:val="clear" w:color="000000" w:fill="1F497D"/>
            <w:noWrap/>
            <w:vAlign w:val="bottom"/>
            <w:hideMark/>
          </w:tcPr>
          <w:p w14:paraId="4FDBE138" w14:textId="77777777" w:rsidR="005744B8" w:rsidRPr="005744B8" w:rsidRDefault="005744B8" w:rsidP="005744B8">
            <w:pPr>
              <w:spacing w:after="0" w:line="240" w:lineRule="auto"/>
              <w:jc w:val="right"/>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 xml:space="preserve">325.033 </w:t>
            </w:r>
          </w:p>
        </w:tc>
        <w:tc>
          <w:tcPr>
            <w:tcW w:w="1177" w:type="dxa"/>
            <w:tcBorders>
              <w:top w:val="nil"/>
              <w:left w:val="nil"/>
              <w:bottom w:val="single" w:sz="4" w:space="0" w:color="808080"/>
              <w:right w:val="single" w:sz="4" w:space="0" w:color="808080"/>
            </w:tcBorders>
            <w:shd w:val="clear" w:color="000000" w:fill="1F497D"/>
            <w:noWrap/>
            <w:vAlign w:val="bottom"/>
            <w:hideMark/>
          </w:tcPr>
          <w:p w14:paraId="415BF6D6" w14:textId="77777777" w:rsidR="005744B8" w:rsidRPr="005744B8" w:rsidRDefault="005744B8" w:rsidP="005744B8">
            <w:pPr>
              <w:spacing w:after="0" w:line="240" w:lineRule="auto"/>
              <w:jc w:val="right"/>
              <w:rPr>
                <w:rFonts w:ascii="Calibri" w:eastAsia="Times New Roman" w:hAnsi="Calibri" w:cs="Calibri"/>
                <w:b/>
                <w:bCs/>
                <w:color w:val="FFFFFF"/>
                <w:sz w:val="18"/>
                <w:szCs w:val="18"/>
                <w:lang w:eastAsia="es-CL"/>
              </w:rPr>
            </w:pPr>
            <w:r w:rsidRPr="005744B8">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3FE1E703"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E9741E">
        <w:rPr>
          <w:b/>
        </w:rPr>
        <w:t>agosto</w:t>
      </w:r>
      <w:r w:rsidR="00C742BA" w:rsidRPr="00EA72CD">
        <w:rPr>
          <w:b/>
        </w:rPr>
        <w:t xml:space="preserve"> de</w:t>
      </w:r>
      <w:r w:rsidRPr="00EA72CD">
        <w:rPr>
          <w:b/>
        </w:rPr>
        <w:t xml:space="preserve"> 201</w:t>
      </w:r>
      <w:r w:rsidR="00C742BA" w:rsidRPr="00EA72CD">
        <w:rPr>
          <w:b/>
        </w:rPr>
        <w:t>7</w:t>
      </w:r>
    </w:p>
    <w:p w14:paraId="3B28CF99" w14:textId="1A23764A" w:rsidR="00FB3D8B" w:rsidRDefault="005744B8"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val="es-ES_tradnl" w:eastAsia="es-ES_tradnl"/>
        </w:rPr>
        <w:drawing>
          <wp:inline distT="0" distB="0" distL="0" distR="0" wp14:anchorId="40AE5ED9" wp14:editId="6A7DC17A">
            <wp:extent cx="5961754" cy="1939060"/>
            <wp:effectExtent l="0" t="0" r="127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94791" cy="1949805"/>
                    </a:xfrm>
                    <a:prstGeom prst="rect">
                      <a:avLst/>
                    </a:prstGeom>
                    <a:noFill/>
                  </pic:spPr>
                </pic:pic>
              </a:graphicData>
            </a:graphic>
          </wp:inline>
        </w:drawing>
      </w:r>
    </w:p>
    <w:p w14:paraId="052EF6FA" w14:textId="75C59422" w:rsidR="001C606D" w:rsidRDefault="001C606D" w:rsidP="00196290">
      <w:pPr>
        <w:tabs>
          <w:tab w:val="left" w:pos="0"/>
          <w:tab w:val="left" w:pos="6285"/>
        </w:tabs>
        <w:ind w:hanging="284"/>
        <w:rPr>
          <w:rFonts w:ascii="Calibri" w:hAnsi="Calibri" w:cs="Calibri"/>
          <w:b/>
          <w:sz w:val="21"/>
          <w:szCs w:val="21"/>
        </w:rPr>
      </w:pPr>
    </w:p>
    <w:p w14:paraId="7CFD9A6A" w14:textId="5645DE84" w:rsidR="00FB3D8B" w:rsidRPr="003D15B6" w:rsidRDefault="00FB3D8B" w:rsidP="00EA72CD">
      <w:pPr>
        <w:pStyle w:val="Prrafodelista"/>
        <w:numPr>
          <w:ilvl w:val="0"/>
          <w:numId w:val="1"/>
        </w:numPr>
        <w:tabs>
          <w:tab w:val="left" w:pos="0"/>
        </w:tabs>
        <w:ind w:left="0"/>
        <w:rPr>
          <w:b/>
        </w:rPr>
      </w:pPr>
      <w:r w:rsidRPr="003D15B6">
        <w:rPr>
          <w:b/>
        </w:rPr>
        <w:t xml:space="preserve">Impuestos, valores nominales: </w:t>
      </w:r>
      <w:r w:rsidR="00E9741E">
        <w:rPr>
          <w:b/>
        </w:rPr>
        <w:t>agosto</w:t>
      </w:r>
      <w:r>
        <w:rPr>
          <w:b/>
        </w:rPr>
        <w:t xml:space="preserve"> </w:t>
      </w:r>
      <w:r w:rsidRPr="003D15B6">
        <w:rPr>
          <w:b/>
        </w:rPr>
        <w:t>de 201</w:t>
      </w:r>
      <w:r w:rsidR="00C742BA">
        <w:rPr>
          <w:b/>
        </w:rPr>
        <w:t>7</w:t>
      </w:r>
    </w:p>
    <w:p w14:paraId="0D6CDC2E" w14:textId="77777777" w:rsidR="00FB3D8B" w:rsidRPr="00EA72CD" w:rsidRDefault="00FB3D8B" w:rsidP="00FB3D8B">
      <w:pPr>
        <w:tabs>
          <w:tab w:val="left" w:pos="0"/>
          <w:tab w:val="left" w:pos="6285"/>
        </w:tabs>
        <w:rPr>
          <w:rFonts w:ascii="Calibri" w:hAnsi="Calibri" w:cs="Calibri"/>
          <w:sz w:val="18"/>
          <w:szCs w:val="18"/>
        </w:rPr>
      </w:pPr>
      <w:r w:rsidRPr="00EA72CD">
        <w:rPr>
          <w:rFonts w:ascii="Calibri" w:hAnsi="Calibri" w:cs="Calibri"/>
          <w:sz w:val="18"/>
          <w:szCs w:val="18"/>
          <w:u w:val="single"/>
        </w:rPr>
        <w:t>Nota</w:t>
      </w:r>
      <w:r w:rsidRPr="00EA72CD">
        <w:rPr>
          <w:rFonts w:ascii="Calibri" w:hAnsi="Calibri" w:cs="Calibri"/>
          <w:sz w:val="18"/>
          <w:szCs w:val="18"/>
        </w:rPr>
        <w:t xml:space="preserve">: Los 12 gobiernos regionales y las 17 municipalidades reciben los impuestos correspondientes el mes subsiguiente del pago de los mismos por parte de las sociedades operadoras. </w:t>
      </w:r>
    </w:p>
    <w:tbl>
      <w:tblPr>
        <w:tblW w:w="5000" w:type="pct"/>
        <w:jc w:val="center"/>
        <w:tblCellMar>
          <w:left w:w="70" w:type="dxa"/>
          <w:right w:w="70" w:type="dxa"/>
        </w:tblCellMar>
        <w:tblLook w:val="04A0" w:firstRow="1" w:lastRow="0" w:firstColumn="1" w:lastColumn="0" w:noHBand="0" w:noVBand="1"/>
      </w:tblPr>
      <w:tblGrid>
        <w:gridCol w:w="902"/>
        <w:gridCol w:w="1567"/>
        <w:gridCol w:w="1293"/>
        <w:gridCol w:w="1135"/>
        <w:gridCol w:w="1118"/>
        <w:gridCol w:w="1161"/>
        <w:gridCol w:w="1328"/>
      </w:tblGrid>
      <w:tr w:rsidR="005744B8" w:rsidRPr="005744B8" w14:paraId="1F46977F" w14:textId="77777777" w:rsidTr="005744B8">
        <w:trPr>
          <w:trHeight w:val="300"/>
          <w:jc w:val="center"/>
        </w:trPr>
        <w:tc>
          <w:tcPr>
            <w:tcW w:w="5000" w:type="pct"/>
            <w:gridSpan w:val="7"/>
            <w:tcBorders>
              <w:top w:val="nil"/>
              <w:left w:val="nil"/>
              <w:bottom w:val="nil"/>
              <w:right w:val="nil"/>
            </w:tcBorders>
            <w:shd w:val="clear" w:color="000000" w:fill="1F497D"/>
            <w:noWrap/>
            <w:vAlign w:val="center"/>
            <w:hideMark/>
          </w:tcPr>
          <w:p w14:paraId="343CE5BF"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proofErr w:type="gramStart"/>
            <w:r w:rsidRPr="005744B8">
              <w:rPr>
                <w:rFonts w:ascii="Calibri" w:eastAsia="Times New Roman" w:hAnsi="Calibri" w:cs="Calibri"/>
                <w:b/>
                <w:bCs/>
                <w:color w:val="FFFFFF"/>
                <w:sz w:val="14"/>
                <w:szCs w:val="18"/>
                <w:lang w:eastAsia="es-CL"/>
              </w:rPr>
              <w:t>IMPUESTOS  Agosto</w:t>
            </w:r>
            <w:proofErr w:type="gramEnd"/>
            <w:r w:rsidRPr="005744B8">
              <w:rPr>
                <w:rFonts w:ascii="Calibri" w:eastAsia="Times New Roman" w:hAnsi="Calibri" w:cs="Calibri"/>
                <w:b/>
                <w:bCs/>
                <w:color w:val="FFFFFF"/>
                <w:sz w:val="14"/>
                <w:szCs w:val="18"/>
                <w:lang w:eastAsia="es-CL"/>
              </w:rPr>
              <w:t xml:space="preserve"> 2017 ($ Millones)</w:t>
            </w:r>
          </w:p>
        </w:tc>
      </w:tr>
      <w:tr w:rsidR="005744B8" w:rsidRPr="005744B8" w14:paraId="510B84B1" w14:textId="77777777" w:rsidTr="005744B8">
        <w:trPr>
          <w:trHeight w:val="480"/>
          <w:jc w:val="center"/>
        </w:trPr>
        <w:tc>
          <w:tcPr>
            <w:tcW w:w="483"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722EA512"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Región</w:t>
            </w:r>
          </w:p>
        </w:tc>
        <w:tc>
          <w:tcPr>
            <w:tcW w:w="923" w:type="pct"/>
            <w:tcBorders>
              <w:top w:val="single" w:sz="4" w:space="0" w:color="A6A6A6"/>
              <w:left w:val="nil"/>
              <w:bottom w:val="single" w:sz="4" w:space="0" w:color="A6A6A6"/>
              <w:right w:val="single" w:sz="4" w:space="0" w:color="A6A6A6"/>
            </w:tcBorders>
            <w:shd w:val="clear" w:color="000000" w:fill="1F497D"/>
            <w:vAlign w:val="center"/>
            <w:hideMark/>
          </w:tcPr>
          <w:p w14:paraId="027F9DC0"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Casino</w:t>
            </w:r>
          </w:p>
        </w:tc>
        <w:tc>
          <w:tcPr>
            <w:tcW w:w="775" w:type="pct"/>
            <w:tcBorders>
              <w:top w:val="single" w:sz="4" w:space="0" w:color="A6A6A6"/>
              <w:left w:val="nil"/>
              <w:bottom w:val="single" w:sz="4" w:space="0" w:color="A6A6A6"/>
              <w:right w:val="single" w:sz="4" w:space="0" w:color="A6A6A6"/>
            </w:tcBorders>
            <w:shd w:val="clear" w:color="000000" w:fill="1F497D"/>
            <w:vAlign w:val="center"/>
            <w:hideMark/>
          </w:tcPr>
          <w:p w14:paraId="74D38C1D"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 xml:space="preserve"> Impuesto específico Gobierno Regional</w:t>
            </w:r>
          </w:p>
        </w:tc>
        <w:tc>
          <w:tcPr>
            <w:tcW w:w="670" w:type="pct"/>
            <w:tcBorders>
              <w:top w:val="single" w:sz="4" w:space="0" w:color="A6A6A6"/>
              <w:left w:val="nil"/>
              <w:bottom w:val="single" w:sz="4" w:space="0" w:color="A6A6A6"/>
              <w:right w:val="single" w:sz="4" w:space="0" w:color="A6A6A6"/>
            </w:tcBorders>
            <w:shd w:val="clear" w:color="000000" w:fill="1F497D"/>
            <w:vAlign w:val="center"/>
            <w:hideMark/>
          </w:tcPr>
          <w:p w14:paraId="72B32BAC"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Impuesto específico Municipalidad</w:t>
            </w:r>
          </w:p>
        </w:tc>
        <w:tc>
          <w:tcPr>
            <w:tcW w:w="661" w:type="pct"/>
            <w:tcBorders>
              <w:top w:val="single" w:sz="4" w:space="0" w:color="A6A6A6"/>
              <w:left w:val="nil"/>
              <w:bottom w:val="single" w:sz="4" w:space="0" w:color="A6A6A6"/>
              <w:right w:val="single" w:sz="4" w:space="0" w:color="A6A6A6"/>
            </w:tcBorders>
            <w:shd w:val="clear" w:color="000000" w:fill="1F497D"/>
            <w:noWrap/>
            <w:vAlign w:val="center"/>
            <w:hideMark/>
          </w:tcPr>
          <w:p w14:paraId="5E9F4F0F"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IVA</w:t>
            </w:r>
          </w:p>
        </w:tc>
        <w:tc>
          <w:tcPr>
            <w:tcW w:w="690" w:type="pct"/>
            <w:tcBorders>
              <w:top w:val="single" w:sz="4" w:space="0" w:color="A6A6A6"/>
              <w:left w:val="nil"/>
              <w:bottom w:val="single" w:sz="4" w:space="0" w:color="A6A6A6"/>
              <w:right w:val="nil"/>
            </w:tcBorders>
            <w:shd w:val="clear" w:color="000000" w:fill="1F497D"/>
            <w:noWrap/>
            <w:vAlign w:val="center"/>
            <w:hideMark/>
          </w:tcPr>
          <w:p w14:paraId="20A8C9BE"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Por entrada</w:t>
            </w:r>
          </w:p>
        </w:tc>
        <w:tc>
          <w:tcPr>
            <w:tcW w:w="798"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65048F5"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Total</w:t>
            </w:r>
          </w:p>
        </w:tc>
      </w:tr>
      <w:tr w:rsidR="005744B8" w:rsidRPr="005744B8" w14:paraId="78E780FA" w14:textId="77777777" w:rsidTr="005744B8">
        <w:trPr>
          <w:trHeight w:val="300"/>
          <w:jc w:val="center"/>
        </w:trPr>
        <w:tc>
          <w:tcPr>
            <w:tcW w:w="48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1EE6227"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De Antofagasta </w:t>
            </w:r>
          </w:p>
        </w:tc>
        <w:tc>
          <w:tcPr>
            <w:tcW w:w="923" w:type="pct"/>
            <w:tcBorders>
              <w:top w:val="nil"/>
              <w:left w:val="nil"/>
              <w:bottom w:val="single" w:sz="4" w:space="0" w:color="A6A6A6"/>
              <w:right w:val="single" w:sz="4" w:space="0" w:color="A6A6A6"/>
            </w:tcBorders>
            <w:shd w:val="clear" w:color="auto" w:fill="auto"/>
            <w:noWrap/>
            <w:vAlign w:val="bottom"/>
            <w:hideMark/>
          </w:tcPr>
          <w:p w14:paraId="71384290"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Marina de Sol Calama</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65E8AB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244 </w:t>
            </w:r>
          </w:p>
        </w:tc>
        <w:tc>
          <w:tcPr>
            <w:tcW w:w="670" w:type="pct"/>
            <w:tcBorders>
              <w:top w:val="nil"/>
              <w:left w:val="nil"/>
              <w:bottom w:val="single" w:sz="4" w:space="0" w:color="A6A6A6"/>
              <w:right w:val="single" w:sz="4" w:space="0" w:color="A6A6A6"/>
            </w:tcBorders>
            <w:shd w:val="clear" w:color="auto" w:fill="auto"/>
            <w:noWrap/>
            <w:vAlign w:val="bottom"/>
            <w:hideMark/>
          </w:tcPr>
          <w:p w14:paraId="43FB9638"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80 </w:t>
            </w:r>
          </w:p>
        </w:tc>
        <w:tc>
          <w:tcPr>
            <w:tcW w:w="661" w:type="pct"/>
            <w:tcBorders>
              <w:top w:val="nil"/>
              <w:left w:val="nil"/>
              <w:bottom w:val="single" w:sz="4" w:space="0" w:color="A6A6A6"/>
              <w:right w:val="single" w:sz="4" w:space="0" w:color="A6A6A6"/>
            </w:tcBorders>
            <w:shd w:val="clear" w:color="auto" w:fill="auto"/>
            <w:noWrap/>
            <w:vAlign w:val="bottom"/>
            <w:hideMark/>
          </w:tcPr>
          <w:p w14:paraId="25BECE18"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159 </w:t>
            </w:r>
          </w:p>
        </w:tc>
        <w:tc>
          <w:tcPr>
            <w:tcW w:w="690" w:type="pct"/>
            <w:tcBorders>
              <w:top w:val="nil"/>
              <w:left w:val="nil"/>
              <w:bottom w:val="single" w:sz="4" w:space="0" w:color="A6A6A6"/>
              <w:right w:val="single" w:sz="4" w:space="0" w:color="A6A6A6"/>
            </w:tcBorders>
            <w:shd w:val="clear" w:color="auto" w:fill="auto"/>
            <w:noWrap/>
            <w:vAlign w:val="bottom"/>
            <w:hideMark/>
          </w:tcPr>
          <w:p w14:paraId="23F529D7"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58 </w:t>
            </w:r>
          </w:p>
        </w:tc>
        <w:tc>
          <w:tcPr>
            <w:tcW w:w="79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F52DCA6"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1.171 </w:t>
            </w:r>
          </w:p>
        </w:tc>
      </w:tr>
      <w:tr w:rsidR="005744B8" w:rsidRPr="005744B8" w14:paraId="6F3F0E7B" w14:textId="77777777" w:rsidTr="005744B8">
        <w:trPr>
          <w:trHeight w:val="300"/>
          <w:jc w:val="center"/>
        </w:trPr>
        <w:tc>
          <w:tcPr>
            <w:tcW w:w="483" w:type="pct"/>
            <w:vMerge/>
            <w:tcBorders>
              <w:top w:val="nil"/>
              <w:left w:val="single" w:sz="4" w:space="0" w:color="A6A6A6"/>
              <w:bottom w:val="single" w:sz="4" w:space="0" w:color="A6A6A6"/>
              <w:right w:val="single" w:sz="4" w:space="0" w:color="A6A6A6"/>
            </w:tcBorders>
            <w:vAlign w:val="center"/>
            <w:hideMark/>
          </w:tcPr>
          <w:p w14:paraId="644BEB42"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
        </w:tc>
        <w:tc>
          <w:tcPr>
            <w:tcW w:w="923" w:type="pct"/>
            <w:tcBorders>
              <w:top w:val="nil"/>
              <w:left w:val="nil"/>
              <w:bottom w:val="single" w:sz="4" w:space="0" w:color="A6A6A6"/>
              <w:right w:val="single" w:sz="4" w:space="0" w:color="A6A6A6"/>
            </w:tcBorders>
            <w:shd w:val="clear" w:color="auto" w:fill="auto"/>
            <w:noWrap/>
            <w:vAlign w:val="bottom"/>
            <w:hideMark/>
          </w:tcPr>
          <w:p w14:paraId="4F8D274E"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roofErr w:type="spellStart"/>
            <w:r w:rsidRPr="005744B8">
              <w:rPr>
                <w:rFonts w:ascii="Calibri" w:eastAsia="Times New Roman" w:hAnsi="Calibri" w:cs="Calibri"/>
                <w:color w:val="244062"/>
                <w:sz w:val="14"/>
                <w:szCs w:val="18"/>
                <w:lang w:eastAsia="es-CL"/>
              </w:rPr>
              <w:t>Enjoy</w:t>
            </w:r>
            <w:proofErr w:type="spellEnd"/>
            <w:r w:rsidRPr="005744B8">
              <w:rPr>
                <w:rFonts w:ascii="Calibri" w:eastAsia="Times New Roman" w:hAnsi="Calibri" w:cs="Calibri"/>
                <w:color w:val="244062"/>
                <w:sz w:val="14"/>
                <w:szCs w:val="18"/>
                <w:lang w:eastAsia="es-CL"/>
              </w:rPr>
              <w:t xml:space="preserve"> Antofagasta</w:t>
            </w:r>
          </w:p>
        </w:tc>
        <w:tc>
          <w:tcPr>
            <w:tcW w:w="775" w:type="pct"/>
            <w:vMerge/>
            <w:tcBorders>
              <w:top w:val="nil"/>
              <w:left w:val="single" w:sz="4" w:space="0" w:color="A6A6A6"/>
              <w:bottom w:val="single" w:sz="4" w:space="0" w:color="A6A6A6"/>
              <w:right w:val="single" w:sz="4" w:space="0" w:color="A6A6A6"/>
            </w:tcBorders>
            <w:vAlign w:val="center"/>
            <w:hideMark/>
          </w:tcPr>
          <w:p w14:paraId="7529BD7D"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c>
          <w:tcPr>
            <w:tcW w:w="670" w:type="pct"/>
            <w:tcBorders>
              <w:top w:val="nil"/>
              <w:left w:val="nil"/>
              <w:bottom w:val="single" w:sz="4" w:space="0" w:color="A6A6A6"/>
              <w:right w:val="single" w:sz="4" w:space="0" w:color="A6A6A6"/>
            </w:tcBorders>
            <w:shd w:val="clear" w:color="auto" w:fill="auto"/>
            <w:noWrap/>
            <w:vAlign w:val="bottom"/>
            <w:hideMark/>
          </w:tcPr>
          <w:p w14:paraId="5D5762AA"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164 </w:t>
            </w:r>
          </w:p>
        </w:tc>
        <w:tc>
          <w:tcPr>
            <w:tcW w:w="661" w:type="pct"/>
            <w:tcBorders>
              <w:top w:val="nil"/>
              <w:left w:val="nil"/>
              <w:bottom w:val="single" w:sz="4" w:space="0" w:color="A6A6A6"/>
              <w:right w:val="single" w:sz="4" w:space="0" w:color="A6A6A6"/>
            </w:tcBorders>
            <w:shd w:val="clear" w:color="auto" w:fill="auto"/>
            <w:noWrap/>
            <w:vAlign w:val="bottom"/>
            <w:hideMark/>
          </w:tcPr>
          <w:p w14:paraId="7C70F024"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332 </w:t>
            </w:r>
          </w:p>
        </w:tc>
        <w:tc>
          <w:tcPr>
            <w:tcW w:w="690" w:type="pct"/>
            <w:tcBorders>
              <w:top w:val="nil"/>
              <w:left w:val="nil"/>
              <w:bottom w:val="single" w:sz="4" w:space="0" w:color="A6A6A6"/>
              <w:right w:val="single" w:sz="4" w:space="0" w:color="A6A6A6"/>
            </w:tcBorders>
            <w:shd w:val="clear" w:color="auto" w:fill="auto"/>
            <w:noWrap/>
            <w:vAlign w:val="bottom"/>
            <w:hideMark/>
          </w:tcPr>
          <w:p w14:paraId="13B993D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133 </w:t>
            </w:r>
          </w:p>
        </w:tc>
        <w:tc>
          <w:tcPr>
            <w:tcW w:w="798" w:type="pct"/>
            <w:vMerge/>
            <w:tcBorders>
              <w:top w:val="nil"/>
              <w:left w:val="single" w:sz="4" w:space="0" w:color="A6A6A6"/>
              <w:bottom w:val="single" w:sz="4" w:space="0" w:color="A6A6A6"/>
              <w:right w:val="single" w:sz="4" w:space="0" w:color="A6A6A6"/>
            </w:tcBorders>
            <w:vAlign w:val="center"/>
            <w:hideMark/>
          </w:tcPr>
          <w:p w14:paraId="516A1F49"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r>
      <w:tr w:rsidR="005744B8" w:rsidRPr="005744B8" w14:paraId="497A0268" w14:textId="77777777" w:rsidTr="005744B8">
        <w:trPr>
          <w:trHeight w:val="300"/>
          <w:jc w:val="center"/>
        </w:trPr>
        <w:tc>
          <w:tcPr>
            <w:tcW w:w="483" w:type="pct"/>
            <w:tcBorders>
              <w:top w:val="nil"/>
              <w:left w:val="single" w:sz="4" w:space="0" w:color="A6A6A6"/>
              <w:bottom w:val="single" w:sz="4" w:space="0" w:color="A6A6A6"/>
              <w:right w:val="single" w:sz="4" w:space="0" w:color="A6A6A6"/>
            </w:tcBorders>
            <w:shd w:val="clear" w:color="000000" w:fill="DAEEF3"/>
            <w:noWrap/>
            <w:vAlign w:val="center"/>
            <w:hideMark/>
          </w:tcPr>
          <w:p w14:paraId="611B7227"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 Atacama</w:t>
            </w:r>
          </w:p>
        </w:tc>
        <w:tc>
          <w:tcPr>
            <w:tcW w:w="923" w:type="pct"/>
            <w:tcBorders>
              <w:top w:val="nil"/>
              <w:left w:val="nil"/>
              <w:bottom w:val="single" w:sz="4" w:space="0" w:color="A6A6A6"/>
              <w:right w:val="single" w:sz="4" w:space="0" w:color="A6A6A6"/>
            </w:tcBorders>
            <w:shd w:val="clear" w:color="000000" w:fill="DAEEF3"/>
            <w:noWrap/>
            <w:vAlign w:val="bottom"/>
            <w:hideMark/>
          </w:tcPr>
          <w:p w14:paraId="74F72A8A"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roofErr w:type="spellStart"/>
            <w:r w:rsidRPr="005744B8">
              <w:rPr>
                <w:rFonts w:ascii="Calibri" w:eastAsia="Times New Roman" w:hAnsi="Calibri" w:cs="Calibri"/>
                <w:color w:val="244062"/>
                <w:sz w:val="14"/>
                <w:szCs w:val="18"/>
                <w:lang w:eastAsia="es-CL"/>
              </w:rPr>
              <w:t>Antay</w:t>
            </w:r>
            <w:proofErr w:type="spellEnd"/>
            <w:r w:rsidRPr="005744B8">
              <w:rPr>
                <w:rFonts w:ascii="Calibri" w:eastAsia="Times New Roman" w:hAnsi="Calibri" w:cs="Calibri"/>
                <w:color w:val="244062"/>
                <w:sz w:val="14"/>
                <w:szCs w:val="18"/>
                <w:lang w:eastAsia="es-CL"/>
              </w:rPr>
              <w:t xml:space="preserve"> Casino &amp; Hotel</w:t>
            </w:r>
          </w:p>
        </w:tc>
        <w:tc>
          <w:tcPr>
            <w:tcW w:w="775" w:type="pct"/>
            <w:tcBorders>
              <w:top w:val="nil"/>
              <w:left w:val="nil"/>
              <w:bottom w:val="single" w:sz="4" w:space="0" w:color="A6A6A6"/>
              <w:right w:val="single" w:sz="4" w:space="0" w:color="A6A6A6"/>
            </w:tcBorders>
            <w:shd w:val="clear" w:color="000000" w:fill="DAEEF3"/>
            <w:noWrap/>
            <w:vAlign w:val="bottom"/>
            <w:hideMark/>
          </w:tcPr>
          <w:p w14:paraId="4927F14F"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75 </w:t>
            </w:r>
          </w:p>
        </w:tc>
        <w:tc>
          <w:tcPr>
            <w:tcW w:w="670" w:type="pct"/>
            <w:tcBorders>
              <w:top w:val="nil"/>
              <w:left w:val="nil"/>
              <w:bottom w:val="single" w:sz="4" w:space="0" w:color="A6A6A6"/>
              <w:right w:val="single" w:sz="4" w:space="0" w:color="A6A6A6"/>
            </w:tcBorders>
            <w:shd w:val="clear" w:color="000000" w:fill="DAEEF3"/>
            <w:noWrap/>
            <w:vAlign w:val="bottom"/>
            <w:hideMark/>
          </w:tcPr>
          <w:p w14:paraId="1C61433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75 </w:t>
            </w:r>
          </w:p>
        </w:tc>
        <w:tc>
          <w:tcPr>
            <w:tcW w:w="661" w:type="pct"/>
            <w:tcBorders>
              <w:top w:val="nil"/>
              <w:left w:val="nil"/>
              <w:bottom w:val="single" w:sz="4" w:space="0" w:color="A6A6A6"/>
              <w:right w:val="single" w:sz="4" w:space="0" w:color="A6A6A6"/>
            </w:tcBorders>
            <w:shd w:val="clear" w:color="000000" w:fill="DAEEF3"/>
            <w:noWrap/>
            <w:vAlign w:val="bottom"/>
            <w:hideMark/>
          </w:tcPr>
          <w:p w14:paraId="5A5D1EF9"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152 </w:t>
            </w:r>
          </w:p>
        </w:tc>
        <w:tc>
          <w:tcPr>
            <w:tcW w:w="690" w:type="pct"/>
            <w:tcBorders>
              <w:top w:val="nil"/>
              <w:left w:val="nil"/>
              <w:bottom w:val="single" w:sz="4" w:space="0" w:color="A6A6A6"/>
              <w:right w:val="single" w:sz="4" w:space="0" w:color="A6A6A6"/>
            </w:tcBorders>
            <w:shd w:val="clear" w:color="000000" w:fill="DAEEF3"/>
            <w:noWrap/>
            <w:vAlign w:val="bottom"/>
            <w:hideMark/>
          </w:tcPr>
          <w:p w14:paraId="417A2FEB"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71 </w:t>
            </w:r>
          </w:p>
        </w:tc>
        <w:tc>
          <w:tcPr>
            <w:tcW w:w="798" w:type="pct"/>
            <w:tcBorders>
              <w:top w:val="nil"/>
              <w:left w:val="nil"/>
              <w:bottom w:val="single" w:sz="4" w:space="0" w:color="A6A6A6"/>
              <w:right w:val="single" w:sz="4" w:space="0" w:color="A6A6A6"/>
            </w:tcBorders>
            <w:shd w:val="clear" w:color="000000" w:fill="DAEEF3"/>
            <w:noWrap/>
            <w:vAlign w:val="bottom"/>
            <w:hideMark/>
          </w:tcPr>
          <w:p w14:paraId="078D0EB6"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372 </w:t>
            </w:r>
          </w:p>
        </w:tc>
      </w:tr>
      <w:tr w:rsidR="005744B8" w:rsidRPr="005744B8" w14:paraId="34F3B679" w14:textId="77777777" w:rsidTr="005744B8">
        <w:trPr>
          <w:trHeight w:val="300"/>
          <w:jc w:val="center"/>
        </w:trPr>
        <w:tc>
          <w:tcPr>
            <w:tcW w:w="483" w:type="pct"/>
            <w:tcBorders>
              <w:top w:val="nil"/>
              <w:left w:val="single" w:sz="4" w:space="0" w:color="A6A6A6"/>
              <w:bottom w:val="single" w:sz="4" w:space="0" w:color="A6A6A6"/>
              <w:right w:val="single" w:sz="4" w:space="0" w:color="A6A6A6"/>
            </w:tcBorders>
            <w:shd w:val="clear" w:color="auto" w:fill="auto"/>
            <w:noWrap/>
            <w:vAlign w:val="center"/>
            <w:hideMark/>
          </w:tcPr>
          <w:p w14:paraId="68BB22A6"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 Coquimbo</w:t>
            </w:r>
          </w:p>
        </w:tc>
        <w:tc>
          <w:tcPr>
            <w:tcW w:w="923" w:type="pct"/>
            <w:tcBorders>
              <w:top w:val="nil"/>
              <w:left w:val="nil"/>
              <w:bottom w:val="single" w:sz="4" w:space="0" w:color="A6A6A6"/>
              <w:right w:val="single" w:sz="4" w:space="0" w:color="A6A6A6"/>
            </w:tcBorders>
            <w:shd w:val="clear" w:color="auto" w:fill="auto"/>
            <w:noWrap/>
            <w:vAlign w:val="bottom"/>
            <w:hideMark/>
          </w:tcPr>
          <w:p w14:paraId="6E2D3675"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Ovalle Casino Resort S.A.</w:t>
            </w:r>
          </w:p>
        </w:tc>
        <w:tc>
          <w:tcPr>
            <w:tcW w:w="775" w:type="pct"/>
            <w:tcBorders>
              <w:top w:val="nil"/>
              <w:left w:val="nil"/>
              <w:bottom w:val="single" w:sz="4" w:space="0" w:color="A6A6A6"/>
              <w:right w:val="single" w:sz="4" w:space="0" w:color="A6A6A6"/>
            </w:tcBorders>
            <w:shd w:val="clear" w:color="auto" w:fill="auto"/>
            <w:noWrap/>
            <w:vAlign w:val="bottom"/>
            <w:hideMark/>
          </w:tcPr>
          <w:p w14:paraId="578F25E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20 </w:t>
            </w:r>
          </w:p>
        </w:tc>
        <w:tc>
          <w:tcPr>
            <w:tcW w:w="670" w:type="pct"/>
            <w:tcBorders>
              <w:top w:val="nil"/>
              <w:left w:val="nil"/>
              <w:bottom w:val="single" w:sz="4" w:space="0" w:color="A6A6A6"/>
              <w:right w:val="single" w:sz="4" w:space="0" w:color="A6A6A6"/>
            </w:tcBorders>
            <w:shd w:val="clear" w:color="auto" w:fill="auto"/>
            <w:noWrap/>
            <w:vAlign w:val="bottom"/>
            <w:hideMark/>
          </w:tcPr>
          <w:p w14:paraId="29AD20DA"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20 </w:t>
            </w:r>
          </w:p>
        </w:tc>
        <w:tc>
          <w:tcPr>
            <w:tcW w:w="661" w:type="pct"/>
            <w:tcBorders>
              <w:top w:val="nil"/>
              <w:left w:val="nil"/>
              <w:bottom w:val="single" w:sz="4" w:space="0" w:color="A6A6A6"/>
              <w:right w:val="single" w:sz="4" w:space="0" w:color="A6A6A6"/>
            </w:tcBorders>
            <w:shd w:val="clear" w:color="auto" w:fill="auto"/>
            <w:noWrap/>
            <w:vAlign w:val="bottom"/>
            <w:hideMark/>
          </w:tcPr>
          <w:p w14:paraId="71D20530"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39 </w:t>
            </w:r>
          </w:p>
        </w:tc>
        <w:tc>
          <w:tcPr>
            <w:tcW w:w="690" w:type="pct"/>
            <w:tcBorders>
              <w:top w:val="nil"/>
              <w:left w:val="nil"/>
              <w:bottom w:val="single" w:sz="4" w:space="0" w:color="A6A6A6"/>
              <w:right w:val="single" w:sz="4" w:space="0" w:color="A6A6A6"/>
            </w:tcBorders>
            <w:shd w:val="clear" w:color="auto" w:fill="auto"/>
            <w:noWrap/>
            <w:vAlign w:val="bottom"/>
            <w:hideMark/>
          </w:tcPr>
          <w:p w14:paraId="211DF2E8"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32 </w:t>
            </w:r>
          </w:p>
        </w:tc>
        <w:tc>
          <w:tcPr>
            <w:tcW w:w="798" w:type="pct"/>
            <w:tcBorders>
              <w:top w:val="nil"/>
              <w:left w:val="nil"/>
              <w:bottom w:val="single" w:sz="4" w:space="0" w:color="A6A6A6"/>
              <w:right w:val="single" w:sz="4" w:space="0" w:color="A6A6A6"/>
            </w:tcBorders>
            <w:shd w:val="clear" w:color="auto" w:fill="auto"/>
            <w:noWrap/>
            <w:vAlign w:val="bottom"/>
            <w:hideMark/>
          </w:tcPr>
          <w:p w14:paraId="14FC7A7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111 </w:t>
            </w:r>
          </w:p>
        </w:tc>
      </w:tr>
      <w:tr w:rsidR="005744B8" w:rsidRPr="005744B8" w14:paraId="3790D54A" w14:textId="77777777" w:rsidTr="005744B8">
        <w:trPr>
          <w:trHeight w:val="300"/>
          <w:jc w:val="center"/>
        </w:trPr>
        <w:tc>
          <w:tcPr>
            <w:tcW w:w="48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4AC081E"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 Valparaíso</w:t>
            </w:r>
          </w:p>
        </w:tc>
        <w:tc>
          <w:tcPr>
            <w:tcW w:w="923" w:type="pct"/>
            <w:tcBorders>
              <w:top w:val="nil"/>
              <w:left w:val="nil"/>
              <w:bottom w:val="single" w:sz="4" w:space="0" w:color="A6A6A6"/>
              <w:right w:val="single" w:sz="4" w:space="0" w:color="A6A6A6"/>
            </w:tcBorders>
            <w:shd w:val="clear" w:color="000000" w:fill="DAEEF3"/>
            <w:noWrap/>
            <w:vAlign w:val="bottom"/>
            <w:hideMark/>
          </w:tcPr>
          <w:p w14:paraId="56C0174D"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Casino de Juegos del Pacífico</w:t>
            </w:r>
          </w:p>
        </w:tc>
        <w:tc>
          <w:tcPr>
            <w:tcW w:w="7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24ACBDA"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388 </w:t>
            </w:r>
          </w:p>
        </w:tc>
        <w:tc>
          <w:tcPr>
            <w:tcW w:w="670" w:type="pct"/>
            <w:tcBorders>
              <w:top w:val="nil"/>
              <w:left w:val="nil"/>
              <w:bottom w:val="single" w:sz="4" w:space="0" w:color="A6A6A6"/>
              <w:right w:val="single" w:sz="4" w:space="0" w:color="A6A6A6"/>
            </w:tcBorders>
            <w:shd w:val="clear" w:color="000000" w:fill="DAEEF3"/>
            <w:noWrap/>
            <w:vAlign w:val="bottom"/>
            <w:hideMark/>
          </w:tcPr>
          <w:p w14:paraId="2A7B2CB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57 </w:t>
            </w:r>
          </w:p>
        </w:tc>
        <w:tc>
          <w:tcPr>
            <w:tcW w:w="661" w:type="pct"/>
            <w:tcBorders>
              <w:top w:val="nil"/>
              <w:left w:val="nil"/>
              <w:bottom w:val="single" w:sz="4" w:space="0" w:color="A6A6A6"/>
              <w:right w:val="single" w:sz="4" w:space="0" w:color="A6A6A6"/>
            </w:tcBorders>
            <w:shd w:val="clear" w:color="000000" w:fill="DAEEF3"/>
            <w:noWrap/>
            <w:vAlign w:val="bottom"/>
            <w:hideMark/>
          </w:tcPr>
          <w:p w14:paraId="526FE729"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109 </w:t>
            </w:r>
          </w:p>
        </w:tc>
        <w:tc>
          <w:tcPr>
            <w:tcW w:w="690" w:type="pct"/>
            <w:tcBorders>
              <w:top w:val="nil"/>
              <w:left w:val="nil"/>
              <w:bottom w:val="single" w:sz="4" w:space="0" w:color="A6A6A6"/>
              <w:right w:val="single" w:sz="4" w:space="0" w:color="A6A6A6"/>
            </w:tcBorders>
            <w:shd w:val="clear" w:color="000000" w:fill="DAEEF3"/>
            <w:noWrap/>
            <w:vAlign w:val="bottom"/>
            <w:hideMark/>
          </w:tcPr>
          <w:p w14:paraId="2A03F8F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60 </w:t>
            </w:r>
          </w:p>
        </w:tc>
        <w:tc>
          <w:tcPr>
            <w:tcW w:w="79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57228B6"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1.671 </w:t>
            </w:r>
          </w:p>
        </w:tc>
      </w:tr>
      <w:tr w:rsidR="005744B8" w:rsidRPr="005744B8" w14:paraId="1714141A" w14:textId="77777777" w:rsidTr="005744B8">
        <w:trPr>
          <w:trHeight w:val="300"/>
          <w:jc w:val="center"/>
        </w:trPr>
        <w:tc>
          <w:tcPr>
            <w:tcW w:w="483" w:type="pct"/>
            <w:vMerge/>
            <w:tcBorders>
              <w:top w:val="nil"/>
              <w:left w:val="single" w:sz="4" w:space="0" w:color="A6A6A6"/>
              <w:bottom w:val="single" w:sz="4" w:space="0" w:color="A6A6A6"/>
              <w:right w:val="single" w:sz="4" w:space="0" w:color="A6A6A6"/>
            </w:tcBorders>
            <w:vAlign w:val="center"/>
            <w:hideMark/>
          </w:tcPr>
          <w:p w14:paraId="4A53456F"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
        </w:tc>
        <w:tc>
          <w:tcPr>
            <w:tcW w:w="923" w:type="pct"/>
            <w:tcBorders>
              <w:top w:val="nil"/>
              <w:left w:val="nil"/>
              <w:bottom w:val="single" w:sz="4" w:space="0" w:color="A6A6A6"/>
              <w:right w:val="single" w:sz="4" w:space="0" w:color="A6A6A6"/>
            </w:tcBorders>
            <w:shd w:val="clear" w:color="000000" w:fill="DAEEF3"/>
            <w:noWrap/>
            <w:vAlign w:val="bottom"/>
            <w:hideMark/>
          </w:tcPr>
          <w:p w14:paraId="779B8D16"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Casino de Juego de Rinconada</w:t>
            </w:r>
          </w:p>
        </w:tc>
        <w:tc>
          <w:tcPr>
            <w:tcW w:w="775" w:type="pct"/>
            <w:vMerge/>
            <w:tcBorders>
              <w:top w:val="nil"/>
              <w:left w:val="single" w:sz="4" w:space="0" w:color="A6A6A6"/>
              <w:bottom w:val="single" w:sz="4" w:space="0" w:color="A6A6A6"/>
              <w:right w:val="single" w:sz="4" w:space="0" w:color="A6A6A6"/>
            </w:tcBorders>
            <w:vAlign w:val="center"/>
            <w:hideMark/>
          </w:tcPr>
          <w:p w14:paraId="25807610"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c>
          <w:tcPr>
            <w:tcW w:w="670" w:type="pct"/>
            <w:tcBorders>
              <w:top w:val="nil"/>
              <w:left w:val="nil"/>
              <w:bottom w:val="single" w:sz="4" w:space="0" w:color="A6A6A6"/>
              <w:right w:val="single" w:sz="4" w:space="0" w:color="A6A6A6"/>
            </w:tcBorders>
            <w:shd w:val="clear" w:color="000000" w:fill="DAEEF3"/>
            <w:noWrap/>
            <w:vAlign w:val="bottom"/>
            <w:hideMark/>
          </w:tcPr>
          <w:p w14:paraId="4C3DFB09"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330 </w:t>
            </w:r>
          </w:p>
        </w:tc>
        <w:tc>
          <w:tcPr>
            <w:tcW w:w="661" w:type="pct"/>
            <w:tcBorders>
              <w:top w:val="nil"/>
              <w:left w:val="nil"/>
              <w:bottom w:val="single" w:sz="4" w:space="0" w:color="A6A6A6"/>
              <w:right w:val="single" w:sz="4" w:space="0" w:color="A6A6A6"/>
            </w:tcBorders>
            <w:shd w:val="clear" w:color="000000" w:fill="DAEEF3"/>
            <w:noWrap/>
            <w:vAlign w:val="bottom"/>
            <w:hideMark/>
          </w:tcPr>
          <w:p w14:paraId="00D45D18"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627 </w:t>
            </w:r>
          </w:p>
        </w:tc>
        <w:tc>
          <w:tcPr>
            <w:tcW w:w="690" w:type="pct"/>
            <w:tcBorders>
              <w:top w:val="nil"/>
              <w:left w:val="nil"/>
              <w:bottom w:val="single" w:sz="4" w:space="0" w:color="A6A6A6"/>
              <w:right w:val="single" w:sz="4" w:space="0" w:color="A6A6A6"/>
            </w:tcBorders>
            <w:shd w:val="clear" w:color="000000" w:fill="DAEEF3"/>
            <w:noWrap/>
            <w:vAlign w:val="bottom"/>
            <w:hideMark/>
          </w:tcPr>
          <w:p w14:paraId="6E04068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99 </w:t>
            </w:r>
          </w:p>
        </w:tc>
        <w:tc>
          <w:tcPr>
            <w:tcW w:w="798" w:type="pct"/>
            <w:vMerge/>
            <w:tcBorders>
              <w:top w:val="nil"/>
              <w:left w:val="single" w:sz="4" w:space="0" w:color="A6A6A6"/>
              <w:bottom w:val="single" w:sz="4" w:space="0" w:color="A6A6A6"/>
              <w:right w:val="single" w:sz="4" w:space="0" w:color="A6A6A6"/>
            </w:tcBorders>
            <w:vAlign w:val="center"/>
            <w:hideMark/>
          </w:tcPr>
          <w:p w14:paraId="2B7A8A30"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r>
      <w:tr w:rsidR="005744B8" w:rsidRPr="005744B8" w14:paraId="1D16CCEA" w14:textId="77777777" w:rsidTr="005744B8">
        <w:trPr>
          <w:trHeight w:val="300"/>
          <w:jc w:val="center"/>
        </w:trPr>
        <w:tc>
          <w:tcPr>
            <w:tcW w:w="48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853F9EA"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 O´Higgins</w:t>
            </w:r>
          </w:p>
        </w:tc>
        <w:tc>
          <w:tcPr>
            <w:tcW w:w="923" w:type="pct"/>
            <w:tcBorders>
              <w:top w:val="nil"/>
              <w:left w:val="nil"/>
              <w:bottom w:val="single" w:sz="4" w:space="0" w:color="A6A6A6"/>
              <w:right w:val="single" w:sz="4" w:space="0" w:color="A6A6A6"/>
            </w:tcBorders>
            <w:shd w:val="clear" w:color="auto" w:fill="auto"/>
            <w:noWrap/>
            <w:vAlign w:val="bottom"/>
            <w:hideMark/>
          </w:tcPr>
          <w:p w14:paraId="48A7895B"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roofErr w:type="spellStart"/>
            <w:r w:rsidRPr="005744B8">
              <w:rPr>
                <w:rFonts w:ascii="Calibri" w:eastAsia="Times New Roman" w:hAnsi="Calibri" w:cs="Calibri"/>
                <w:color w:val="244062"/>
                <w:sz w:val="14"/>
                <w:szCs w:val="18"/>
                <w:lang w:eastAsia="es-CL"/>
              </w:rPr>
              <w:t>Sun</w:t>
            </w:r>
            <w:proofErr w:type="spellEnd"/>
            <w:r w:rsidRPr="005744B8">
              <w:rPr>
                <w:rFonts w:ascii="Calibri" w:eastAsia="Times New Roman" w:hAnsi="Calibri" w:cs="Calibri"/>
                <w:color w:val="244062"/>
                <w:sz w:val="14"/>
                <w:szCs w:val="18"/>
                <w:lang w:eastAsia="es-CL"/>
              </w:rPr>
              <w:t xml:space="preserve"> Monticello</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E4D51EE"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561 </w:t>
            </w:r>
          </w:p>
        </w:tc>
        <w:tc>
          <w:tcPr>
            <w:tcW w:w="670" w:type="pct"/>
            <w:tcBorders>
              <w:top w:val="nil"/>
              <w:left w:val="nil"/>
              <w:bottom w:val="single" w:sz="4" w:space="0" w:color="A6A6A6"/>
              <w:right w:val="single" w:sz="4" w:space="0" w:color="A6A6A6"/>
            </w:tcBorders>
            <w:shd w:val="clear" w:color="auto" w:fill="auto"/>
            <w:noWrap/>
            <w:vAlign w:val="bottom"/>
            <w:hideMark/>
          </w:tcPr>
          <w:p w14:paraId="574D0A8D"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518 </w:t>
            </w:r>
          </w:p>
        </w:tc>
        <w:tc>
          <w:tcPr>
            <w:tcW w:w="661" w:type="pct"/>
            <w:tcBorders>
              <w:top w:val="nil"/>
              <w:left w:val="nil"/>
              <w:bottom w:val="single" w:sz="4" w:space="0" w:color="A6A6A6"/>
              <w:right w:val="single" w:sz="4" w:space="0" w:color="A6A6A6"/>
            </w:tcBorders>
            <w:shd w:val="clear" w:color="auto" w:fill="auto"/>
            <w:noWrap/>
            <w:vAlign w:val="bottom"/>
            <w:hideMark/>
          </w:tcPr>
          <w:p w14:paraId="419A9D10"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1.022 </w:t>
            </w:r>
          </w:p>
        </w:tc>
        <w:tc>
          <w:tcPr>
            <w:tcW w:w="690" w:type="pct"/>
            <w:tcBorders>
              <w:top w:val="nil"/>
              <w:left w:val="nil"/>
              <w:bottom w:val="single" w:sz="4" w:space="0" w:color="A6A6A6"/>
              <w:right w:val="single" w:sz="4" w:space="0" w:color="A6A6A6"/>
            </w:tcBorders>
            <w:shd w:val="clear" w:color="auto" w:fill="auto"/>
            <w:noWrap/>
            <w:vAlign w:val="bottom"/>
            <w:hideMark/>
          </w:tcPr>
          <w:p w14:paraId="6388407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212 </w:t>
            </w:r>
          </w:p>
        </w:tc>
        <w:tc>
          <w:tcPr>
            <w:tcW w:w="79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D1EAE6F"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2.466 </w:t>
            </w:r>
          </w:p>
        </w:tc>
      </w:tr>
      <w:tr w:rsidR="005744B8" w:rsidRPr="005744B8" w14:paraId="666B8E08" w14:textId="77777777" w:rsidTr="005744B8">
        <w:trPr>
          <w:trHeight w:val="300"/>
          <w:jc w:val="center"/>
        </w:trPr>
        <w:tc>
          <w:tcPr>
            <w:tcW w:w="483" w:type="pct"/>
            <w:vMerge/>
            <w:tcBorders>
              <w:top w:val="nil"/>
              <w:left w:val="single" w:sz="4" w:space="0" w:color="A6A6A6"/>
              <w:bottom w:val="single" w:sz="4" w:space="0" w:color="A6A6A6"/>
              <w:right w:val="single" w:sz="4" w:space="0" w:color="A6A6A6"/>
            </w:tcBorders>
            <w:vAlign w:val="center"/>
            <w:hideMark/>
          </w:tcPr>
          <w:p w14:paraId="0EBFF8C3"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
        </w:tc>
        <w:tc>
          <w:tcPr>
            <w:tcW w:w="923" w:type="pct"/>
            <w:tcBorders>
              <w:top w:val="nil"/>
              <w:left w:val="nil"/>
              <w:bottom w:val="single" w:sz="4" w:space="0" w:color="A6A6A6"/>
              <w:right w:val="single" w:sz="4" w:space="0" w:color="A6A6A6"/>
            </w:tcBorders>
            <w:shd w:val="clear" w:color="auto" w:fill="auto"/>
            <w:noWrap/>
            <w:vAlign w:val="bottom"/>
            <w:hideMark/>
          </w:tcPr>
          <w:p w14:paraId="75B71CD0"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Casino de Colchagua</w:t>
            </w:r>
          </w:p>
        </w:tc>
        <w:tc>
          <w:tcPr>
            <w:tcW w:w="775" w:type="pct"/>
            <w:vMerge/>
            <w:tcBorders>
              <w:top w:val="nil"/>
              <w:left w:val="single" w:sz="4" w:space="0" w:color="A6A6A6"/>
              <w:bottom w:val="single" w:sz="4" w:space="0" w:color="A6A6A6"/>
              <w:right w:val="single" w:sz="4" w:space="0" w:color="A6A6A6"/>
            </w:tcBorders>
            <w:vAlign w:val="center"/>
            <w:hideMark/>
          </w:tcPr>
          <w:p w14:paraId="0CD95ED0"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c>
          <w:tcPr>
            <w:tcW w:w="670" w:type="pct"/>
            <w:tcBorders>
              <w:top w:val="nil"/>
              <w:left w:val="nil"/>
              <w:bottom w:val="single" w:sz="4" w:space="0" w:color="A6A6A6"/>
              <w:right w:val="single" w:sz="4" w:space="0" w:color="A6A6A6"/>
            </w:tcBorders>
            <w:shd w:val="clear" w:color="auto" w:fill="auto"/>
            <w:noWrap/>
            <w:vAlign w:val="bottom"/>
            <w:hideMark/>
          </w:tcPr>
          <w:p w14:paraId="0A16FFC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43 </w:t>
            </w:r>
          </w:p>
        </w:tc>
        <w:tc>
          <w:tcPr>
            <w:tcW w:w="661" w:type="pct"/>
            <w:tcBorders>
              <w:top w:val="nil"/>
              <w:left w:val="nil"/>
              <w:bottom w:val="single" w:sz="4" w:space="0" w:color="A6A6A6"/>
              <w:right w:val="single" w:sz="4" w:space="0" w:color="A6A6A6"/>
            </w:tcBorders>
            <w:shd w:val="clear" w:color="auto" w:fill="auto"/>
            <w:noWrap/>
            <w:vAlign w:val="bottom"/>
            <w:hideMark/>
          </w:tcPr>
          <w:p w14:paraId="2F5FEB5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87 </w:t>
            </w:r>
          </w:p>
        </w:tc>
        <w:tc>
          <w:tcPr>
            <w:tcW w:w="690" w:type="pct"/>
            <w:tcBorders>
              <w:top w:val="nil"/>
              <w:left w:val="nil"/>
              <w:bottom w:val="single" w:sz="4" w:space="0" w:color="A6A6A6"/>
              <w:right w:val="single" w:sz="4" w:space="0" w:color="A6A6A6"/>
            </w:tcBorders>
            <w:shd w:val="clear" w:color="auto" w:fill="auto"/>
            <w:noWrap/>
            <w:vAlign w:val="bottom"/>
            <w:hideMark/>
          </w:tcPr>
          <w:p w14:paraId="0DD4EF6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23 </w:t>
            </w:r>
          </w:p>
        </w:tc>
        <w:tc>
          <w:tcPr>
            <w:tcW w:w="798" w:type="pct"/>
            <w:vMerge/>
            <w:tcBorders>
              <w:top w:val="nil"/>
              <w:left w:val="single" w:sz="4" w:space="0" w:color="A6A6A6"/>
              <w:bottom w:val="single" w:sz="4" w:space="0" w:color="A6A6A6"/>
              <w:right w:val="single" w:sz="4" w:space="0" w:color="A6A6A6"/>
            </w:tcBorders>
            <w:vAlign w:val="center"/>
            <w:hideMark/>
          </w:tcPr>
          <w:p w14:paraId="3CF0369A"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r>
      <w:tr w:rsidR="005744B8" w:rsidRPr="005744B8" w14:paraId="606333C5" w14:textId="77777777" w:rsidTr="005744B8">
        <w:trPr>
          <w:trHeight w:val="300"/>
          <w:jc w:val="center"/>
        </w:trPr>
        <w:tc>
          <w:tcPr>
            <w:tcW w:w="483" w:type="pct"/>
            <w:tcBorders>
              <w:top w:val="nil"/>
              <w:left w:val="single" w:sz="4" w:space="0" w:color="A6A6A6"/>
              <w:bottom w:val="single" w:sz="4" w:space="0" w:color="A6A6A6"/>
              <w:right w:val="single" w:sz="4" w:space="0" w:color="A6A6A6"/>
            </w:tcBorders>
            <w:shd w:val="clear" w:color="000000" w:fill="DAEEF3"/>
            <w:noWrap/>
            <w:vAlign w:val="center"/>
            <w:hideMark/>
          </w:tcPr>
          <w:p w14:paraId="4734ABD0"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Del Maule</w:t>
            </w:r>
          </w:p>
        </w:tc>
        <w:tc>
          <w:tcPr>
            <w:tcW w:w="923" w:type="pct"/>
            <w:tcBorders>
              <w:top w:val="nil"/>
              <w:left w:val="nil"/>
              <w:bottom w:val="single" w:sz="4" w:space="0" w:color="A6A6A6"/>
              <w:right w:val="single" w:sz="4" w:space="0" w:color="A6A6A6"/>
            </w:tcBorders>
            <w:shd w:val="clear" w:color="000000" w:fill="DAEEF3"/>
            <w:noWrap/>
            <w:vAlign w:val="bottom"/>
            <w:hideMark/>
          </w:tcPr>
          <w:p w14:paraId="4AB01B69"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Gran Casino de Talca</w:t>
            </w:r>
          </w:p>
        </w:tc>
        <w:tc>
          <w:tcPr>
            <w:tcW w:w="775" w:type="pct"/>
            <w:tcBorders>
              <w:top w:val="nil"/>
              <w:left w:val="nil"/>
              <w:bottom w:val="single" w:sz="4" w:space="0" w:color="A6A6A6"/>
              <w:right w:val="single" w:sz="4" w:space="0" w:color="A6A6A6"/>
            </w:tcBorders>
            <w:shd w:val="clear" w:color="000000" w:fill="DAEEF3"/>
            <w:noWrap/>
            <w:vAlign w:val="bottom"/>
            <w:hideMark/>
          </w:tcPr>
          <w:p w14:paraId="6118649B"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76 </w:t>
            </w:r>
          </w:p>
        </w:tc>
        <w:tc>
          <w:tcPr>
            <w:tcW w:w="670" w:type="pct"/>
            <w:tcBorders>
              <w:top w:val="nil"/>
              <w:left w:val="nil"/>
              <w:bottom w:val="single" w:sz="4" w:space="0" w:color="A6A6A6"/>
              <w:right w:val="single" w:sz="4" w:space="0" w:color="A6A6A6"/>
            </w:tcBorders>
            <w:shd w:val="clear" w:color="000000" w:fill="DAEEF3"/>
            <w:noWrap/>
            <w:vAlign w:val="bottom"/>
            <w:hideMark/>
          </w:tcPr>
          <w:p w14:paraId="7FD889DD"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76 </w:t>
            </w:r>
          </w:p>
        </w:tc>
        <w:tc>
          <w:tcPr>
            <w:tcW w:w="661" w:type="pct"/>
            <w:tcBorders>
              <w:top w:val="nil"/>
              <w:left w:val="nil"/>
              <w:bottom w:val="single" w:sz="4" w:space="0" w:color="A6A6A6"/>
              <w:right w:val="single" w:sz="4" w:space="0" w:color="A6A6A6"/>
            </w:tcBorders>
            <w:shd w:val="clear" w:color="000000" w:fill="DAEEF3"/>
            <w:noWrap/>
            <w:vAlign w:val="bottom"/>
            <w:hideMark/>
          </w:tcPr>
          <w:p w14:paraId="312DD148"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153 </w:t>
            </w:r>
          </w:p>
        </w:tc>
        <w:tc>
          <w:tcPr>
            <w:tcW w:w="690" w:type="pct"/>
            <w:tcBorders>
              <w:top w:val="nil"/>
              <w:left w:val="nil"/>
              <w:bottom w:val="single" w:sz="4" w:space="0" w:color="A6A6A6"/>
              <w:right w:val="single" w:sz="4" w:space="0" w:color="A6A6A6"/>
            </w:tcBorders>
            <w:shd w:val="clear" w:color="000000" w:fill="DAEEF3"/>
            <w:noWrap/>
            <w:vAlign w:val="bottom"/>
            <w:hideMark/>
          </w:tcPr>
          <w:p w14:paraId="45C2838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63 </w:t>
            </w:r>
          </w:p>
        </w:tc>
        <w:tc>
          <w:tcPr>
            <w:tcW w:w="798" w:type="pct"/>
            <w:tcBorders>
              <w:top w:val="nil"/>
              <w:left w:val="nil"/>
              <w:bottom w:val="single" w:sz="4" w:space="0" w:color="A6A6A6"/>
              <w:right w:val="single" w:sz="4" w:space="0" w:color="A6A6A6"/>
            </w:tcBorders>
            <w:shd w:val="clear" w:color="000000" w:fill="DAEEF3"/>
            <w:noWrap/>
            <w:vAlign w:val="bottom"/>
            <w:hideMark/>
          </w:tcPr>
          <w:p w14:paraId="523BEF96"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367 </w:t>
            </w:r>
          </w:p>
        </w:tc>
      </w:tr>
      <w:tr w:rsidR="005744B8" w:rsidRPr="005744B8" w14:paraId="79603B51" w14:textId="77777777" w:rsidTr="005744B8">
        <w:trPr>
          <w:trHeight w:val="300"/>
          <w:jc w:val="center"/>
        </w:trPr>
        <w:tc>
          <w:tcPr>
            <w:tcW w:w="483"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8C5E415"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Del Bío </w:t>
            </w:r>
            <w:proofErr w:type="spellStart"/>
            <w:r w:rsidRPr="005744B8">
              <w:rPr>
                <w:rFonts w:ascii="Calibri" w:eastAsia="Times New Roman" w:hAnsi="Calibri" w:cs="Calibri"/>
                <w:color w:val="244062"/>
                <w:sz w:val="14"/>
                <w:szCs w:val="18"/>
                <w:lang w:eastAsia="es-CL"/>
              </w:rPr>
              <w:t>Bío</w:t>
            </w:r>
            <w:proofErr w:type="spellEnd"/>
            <w:r w:rsidRPr="005744B8">
              <w:rPr>
                <w:rFonts w:ascii="Calibri" w:eastAsia="Times New Roman" w:hAnsi="Calibri" w:cs="Calibri"/>
                <w:color w:val="244062"/>
                <w:sz w:val="14"/>
                <w:szCs w:val="18"/>
                <w:lang w:eastAsia="es-CL"/>
              </w:rPr>
              <w:t xml:space="preserve"> </w:t>
            </w:r>
          </w:p>
        </w:tc>
        <w:tc>
          <w:tcPr>
            <w:tcW w:w="923" w:type="pct"/>
            <w:tcBorders>
              <w:top w:val="nil"/>
              <w:left w:val="nil"/>
              <w:bottom w:val="single" w:sz="4" w:space="0" w:color="A6A6A6"/>
              <w:right w:val="single" w:sz="4" w:space="0" w:color="A6A6A6"/>
            </w:tcBorders>
            <w:shd w:val="clear" w:color="auto" w:fill="auto"/>
            <w:noWrap/>
            <w:vAlign w:val="bottom"/>
            <w:hideMark/>
          </w:tcPr>
          <w:p w14:paraId="3ACBD976"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Marina de Sol Talcahuano</w:t>
            </w:r>
          </w:p>
        </w:tc>
        <w:tc>
          <w:tcPr>
            <w:tcW w:w="775"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96269E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285 </w:t>
            </w:r>
          </w:p>
        </w:tc>
        <w:tc>
          <w:tcPr>
            <w:tcW w:w="670" w:type="pct"/>
            <w:tcBorders>
              <w:top w:val="nil"/>
              <w:left w:val="nil"/>
              <w:bottom w:val="single" w:sz="4" w:space="0" w:color="A6A6A6"/>
              <w:right w:val="single" w:sz="4" w:space="0" w:color="A6A6A6"/>
            </w:tcBorders>
            <w:shd w:val="clear" w:color="auto" w:fill="auto"/>
            <w:noWrap/>
            <w:vAlign w:val="bottom"/>
            <w:hideMark/>
          </w:tcPr>
          <w:p w14:paraId="0F864559"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252 </w:t>
            </w:r>
          </w:p>
        </w:tc>
        <w:tc>
          <w:tcPr>
            <w:tcW w:w="661" w:type="pct"/>
            <w:tcBorders>
              <w:top w:val="nil"/>
              <w:left w:val="nil"/>
              <w:bottom w:val="single" w:sz="4" w:space="0" w:color="A6A6A6"/>
              <w:right w:val="single" w:sz="4" w:space="0" w:color="A6A6A6"/>
            </w:tcBorders>
            <w:shd w:val="clear" w:color="auto" w:fill="auto"/>
            <w:noWrap/>
            <w:vAlign w:val="bottom"/>
            <w:hideMark/>
          </w:tcPr>
          <w:p w14:paraId="2D1F2D2B"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501 </w:t>
            </w:r>
          </w:p>
        </w:tc>
        <w:tc>
          <w:tcPr>
            <w:tcW w:w="690" w:type="pct"/>
            <w:tcBorders>
              <w:top w:val="nil"/>
              <w:left w:val="nil"/>
              <w:bottom w:val="single" w:sz="4" w:space="0" w:color="A6A6A6"/>
              <w:right w:val="single" w:sz="4" w:space="0" w:color="A6A6A6"/>
            </w:tcBorders>
            <w:shd w:val="clear" w:color="auto" w:fill="auto"/>
            <w:noWrap/>
            <w:vAlign w:val="bottom"/>
            <w:hideMark/>
          </w:tcPr>
          <w:p w14:paraId="20148930"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208 </w:t>
            </w:r>
          </w:p>
        </w:tc>
        <w:tc>
          <w:tcPr>
            <w:tcW w:w="798"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EDFC39D"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1.381 </w:t>
            </w:r>
          </w:p>
        </w:tc>
      </w:tr>
      <w:tr w:rsidR="005744B8" w:rsidRPr="005744B8" w14:paraId="28AA75E8" w14:textId="77777777" w:rsidTr="005744B8">
        <w:trPr>
          <w:trHeight w:val="300"/>
          <w:jc w:val="center"/>
        </w:trPr>
        <w:tc>
          <w:tcPr>
            <w:tcW w:w="483" w:type="pct"/>
            <w:vMerge/>
            <w:tcBorders>
              <w:top w:val="nil"/>
              <w:left w:val="single" w:sz="4" w:space="0" w:color="A6A6A6"/>
              <w:bottom w:val="single" w:sz="4" w:space="0" w:color="A6A6A6"/>
              <w:right w:val="single" w:sz="4" w:space="0" w:color="A6A6A6"/>
            </w:tcBorders>
            <w:vAlign w:val="center"/>
            <w:hideMark/>
          </w:tcPr>
          <w:p w14:paraId="7BD09818"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
        </w:tc>
        <w:tc>
          <w:tcPr>
            <w:tcW w:w="923" w:type="pct"/>
            <w:tcBorders>
              <w:top w:val="nil"/>
              <w:left w:val="nil"/>
              <w:bottom w:val="single" w:sz="4" w:space="0" w:color="A6A6A6"/>
              <w:right w:val="single" w:sz="4" w:space="0" w:color="A6A6A6"/>
            </w:tcBorders>
            <w:shd w:val="clear" w:color="auto" w:fill="auto"/>
            <w:noWrap/>
            <w:vAlign w:val="bottom"/>
            <w:hideMark/>
          </w:tcPr>
          <w:p w14:paraId="0C67D2B9"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Casino Gran Los Ángeles</w:t>
            </w:r>
          </w:p>
        </w:tc>
        <w:tc>
          <w:tcPr>
            <w:tcW w:w="775" w:type="pct"/>
            <w:vMerge/>
            <w:tcBorders>
              <w:top w:val="nil"/>
              <w:left w:val="single" w:sz="4" w:space="0" w:color="A6A6A6"/>
              <w:bottom w:val="single" w:sz="4" w:space="0" w:color="A6A6A6"/>
              <w:right w:val="single" w:sz="4" w:space="0" w:color="A6A6A6"/>
            </w:tcBorders>
            <w:vAlign w:val="center"/>
            <w:hideMark/>
          </w:tcPr>
          <w:p w14:paraId="060BBC6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c>
          <w:tcPr>
            <w:tcW w:w="670" w:type="pct"/>
            <w:tcBorders>
              <w:top w:val="nil"/>
              <w:left w:val="nil"/>
              <w:bottom w:val="single" w:sz="4" w:space="0" w:color="A6A6A6"/>
              <w:right w:val="single" w:sz="4" w:space="0" w:color="A6A6A6"/>
            </w:tcBorders>
            <w:shd w:val="clear" w:color="auto" w:fill="auto"/>
            <w:noWrap/>
            <w:vAlign w:val="bottom"/>
            <w:hideMark/>
          </w:tcPr>
          <w:p w14:paraId="0B469F6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33 </w:t>
            </w:r>
          </w:p>
        </w:tc>
        <w:tc>
          <w:tcPr>
            <w:tcW w:w="661" w:type="pct"/>
            <w:tcBorders>
              <w:top w:val="nil"/>
              <w:left w:val="nil"/>
              <w:bottom w:val="single" w:sz="4" w:space="0" w:color="A6A6A6"/>
              <w:right w:val="single" w:sz="4" w:space="0" w:color="A6A6A6"/>
            </w:tcBorders>
            <w:shd w:val="clear" w:color="auto" w:fill="auto"/>
            <w:noWrap/>
            <w:vAlign w:val="bottom"/>
            <w:hideMark/>
          </w:tcPr>
          <w:p w14:paraId="2F5E9EF8"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63 </w:t>
            </w:r>
          </w:p>
        </w:tc>
        <w:tc>
          <w:tcPr>
            <w:tcW w:w="690" w:type="pct"/>
            <w:tcBorders>
              <w:top w:val="nil"/>
              <w:left w:val="nil"/>
              <w:bottom w:val="single" w:sz="4" w:space="0" w:color="A6A6A6"/>
              <w:right w:val="single" w:sz="4" w:space="0" w:color="A6A6A6"/>
            </w:tcBorders>
            <w:shd w:val="clear" w:color="auto" w:fill="auto"/>
            <w:noWrap/>
            <w:vAlign w:val="bottom"/>
            <w:hideMark/>
          </w:tcPr>
          <w:p w14:paraId="5C05546D"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39 </w:t>
            </w:r>
          </w:p>
        </w:tc>
        <w:tc>
          <w:tcPr>
            <w:tcW w:w="798" w:type="pct"/>
            <w:vMerge/>
            <w:tcBorders>
              <w:top w:val="nil"/>
              <w:left w:val="single" w:sz="4" w:space="0" w:color="A6A6A6"/>
              <w:bottom w:val="single" w:sz="4" w:space="0" w:color="A6A6A6"/>
              <w:right w:val="single" w:sz="4" w:space="0" w:color="A6A6A6"/>
            </w:tcBorders>
            <w:vAlign w:val="center"/>
            <w:hideMark/>
          </w:tcPr>
          <w:p w14:paraId="5384CC9D"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r>
      <w:tr w:rsidR="005744B8" w:rsidRPr="005744B8" w14:paraId="0AC0D21B" w14:textId="77777777" w:rsidTr="005744B8">
        <w:trPr>
          <w:trHeight w:val="300"/>
          <w:jc w:val="center"/>
        </w:trPr>
        <w:tc>
          <w:tcPr>
            <w:tcW w:w="483" w:type="pct"/>
            <w:tcBorders>
              <w:top w:val="nil"/>
              <w:left w:val="single" w:sz="4" w:space="0" w:color="A6A6A6"/>
              <w:bottom w:val="single" w:sz="4" w:space="0" w:color="A6A6A6"/>
              <w:right w:val="single" w:sz="4" w:space="0" w:color="A6A6A6"/>
            </w:tcBorders>
            <w:shd w:val="clear" w:color="000000" w:fill="DAEEF3"/>
            <w:noWrap/>
            <w:vAlign w:val="center"/>
            <w:hideMark/>
          </w:tcPr>
          <w:p w14:paraId="2E7A1B13"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De La Araucanía </w:t>
            </w:r>
          </w:p>
        </w:tc>
        <w:tc>
          <w:tcPr>
            <w:tcW w:w="923" w:type="pct"/>
            <w:tcBorders>
              <w:top w:val="nil"/>
              <w:left w:val="nil"/>
              <w:bottom w:val="single" w:sz="4" w:space="0" w:color="A6A6A6"/>
              <w:right w:val="single" w:sz="4" w:space="0" w:color="A6A6A6"/>
            </w:tcBorders>
            <w:shd w:val="clear" w:color="000000" w:fill="DAEEF3"/>
            <w:noWrap/>
            <w:vAlign w:val="bottom"/>
            <w:hideMark/>
          </w:tcPr>
          <w:p w14:paraId="1D6D80EB"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Dreams Temuco</w:t>
            </w:r>
          </w:p>
        </w:tc>
        <w:tc>
          <w:tcPr>
            <w:tcW w:w="775" w:type="pct"/>
            <w:tcBorders>
              <w:top w:val="nil"/>
              <w:left w:val="nil"/>
              <w:bottom w:val="single" w:sz="4" w:space="0" w:color="A6A6A6"/>
              <w:right w:val="single" w:sz="4" w:space="0" w:color="A6A6A6"/>
            </w:tcBorders>
            <w:shd w:val="clear" w:color="000000" w:fill="DAEEF3"/>
            <w:noWrap/>
            <w:vAlign w:val="bottom"/>
            <w:hideMark/>
          </w:tcPr>
          <w:p w14:paraId="0CF7891F"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147 </w:t>
            </w:r>
          </w:p>
        </w:tc>
        <w:tc>
          <w:tcPr>
            <w:tcW w:w="670" w:type="pct"/>
            <w:tcBorders>
              <w:top w:val="nil"/>
              <w:left w:val="nil"/>
              <w:bottom w:val="single" w:sz="4" w:space="0" w:color="A6A6A6"/>
              <w:right w:val="single" w:sz="4" w:space="0" w:color="A6A6A6"/>
            </w:tcBorders>
            <w:shd w:val="clear" w:color="000000" w:fill="DAEEF3"/>
            <w:noWrap/>
            <w:vAlign w:val="bottom"/>
            <w:hideMark/>
          </w:tcPr>
          <w:p w14:paraId="0F54244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147 </w:t>
            </w:r>
          </w:p>
        </w:tc>
        <w:tc>
          <w:tcPr>
            <w:tcW w:w="661" w:type="pct"/>
            <w:tcBorders>
              <w:top w:val="nil"/>
              <w:left w:val="nil"/>
              <w:bottom w:val="single" w:sz="4" w:space="0" w:color="A6A6A6"/>
              <w:right w:val="single" w:sz="4" w:space="0" w:color="A6A6A6"/>
            </w:tcBorders>
            <w:shd w:val="clear" w:color="000000" w:fill="DAEEF3"/>
            <w:noWrap/>
            <w:vAlign w:val="bottom"/>
            <w:hideMark/>
          </w:tcPr>
          <w:p w14:paraId="29FFC215"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291 </w:t>
            </w:r>
          </w:p>
        </w:tc>
        <w:tc>
          <w:tcPr>
            <w:tcW w:w="690" w:type="pct"/>
            <w:tcBorders>
              <w:top w:val="nil"/>
              <w:left w:val="nil"/>
              <w:bottom w:val="single" w:sz="4" w:space="0" w:color="A6A6A6"/>
              <w:right w:val="single" w:sz="4" w:space="0" w:color="A6A6A6"/>
            </w:tcBorders>
            <w:shd w:val="clear" w:color="000000" w:fill="DAEEF3"/>
            <w:noWrap/>
            <w:vAlign w:val="bottom"/>
            <w:hideMark/>
          </w:tcPr>
          <w:p w14:paraId="53C56BC1"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113 </w:t>
            </w:r>
          </w:p>
        </w:tc>
        <w:tc>
          <w:tcPr>
            <w:tcW w:w="798" w:type="pct"/>
            <w:tcBorders>
              <w:top w:val="nil"/>
              <w:left w:val="nil"/>
              <w:bottom w:val="single" w:sz="4" w:space="0" w:color="A6A6A6"/>
              <w:right w:val="single" w:sz="4" w:space="0" w:color="A6A6A6"/>
            </w:tcBorders>
            <w:shd w:val="clear" w:color="000000" w:fill="DAEEF3"/>
            <w:noWrap/>
            <w:vAlign w:val="bottom"/>
            <w:hideMark/>
          </w:tcPr>
          <w:p w14:paraId="57C3B9EE"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698 </w:t>
            </w:r>
          </w:p>
        </w:tc>
      </w:tr>
      <w:tr w:rsidR="005744B8" w:rsidRPr="005744B8" w14:paraId="0C7A64EF" w14:textId="77777777" w:rsidTr="005744B8">
        <w:trPr>
          <w:trHeight w:val="300"/>
          <w:jc w:val="center"/>
        </w:trPr>
        <w:tc>
          <w:tcPr>
            <w:tcW w:w="483" w:type="pct"/>
            <w:tcBorders>
              <w:top w:val="nil"/>
              <w:left w:val="single" w:sz="4" w:space="0" w:color="A6A6A6"/>
              <w:bottom w:val="single" w:sz="4" w:space="0" w:color="A6A6A6"/>
              <w:right w:val="single" w:sz="4" w:space="0" w:color="A6A6A6"/>
            </w:tcBorders>
            <w:shd w:val="clear" w:color="000000" w:fill="FFFFFF"/>
            <w:noWrap/>
            <w:vAlign w:val="center"/>
            <w:hideMark/>
          </w:tcPr>
          <w:p w14:paraId="224905D7"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 Los Ríos</w:t>
            </w:r>
          </w:p>
        </w:tc>
        <w:tc>
          <w:tcPr>
            <w:tcW w:w="923" w:type="pct"/>
            <w:tcBorders>
              <w:top w:val="nil"/>
              <w:left w:val="nil"/>
              <w:bottom w:val="single" w:sz="4" w:space="0" w:color="A6A6A6"/>
              <w:right w:val="single" w:sz="4" w:space="0" w:color="A6A6A6"/>
            </w:tcBorders>
            <w:shd w:val="clear" w:color="000000" w:fill="FFFFFF"/>
            <w:noWrap/>
            <w:vAlign w:val="bottom"/>
            <w:hideMark/>
          </w:tcPr>
          <w:p w14:paraId="6671CD23"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Dreams Valdivia</w:t>
            </w:r>
          </w:p>
        </w:tc>
        <w:tc>
          <w:tcPr>
            <w:tcW w:w="775" w:type="pct"/>
            <w:tcBorders>
              <w:top w:val="nil"/>
              <w:left w:val="nil"/>
              <w:bottom w:val="single" w:sz="4" w:space="0" w:color="A6A6A6"/>
              <w:right w:val="single" w:sz="4" w:space="0" w:color="A6A6A6"/>
            </w:tcBorders>
            <w:shd w:val="clear" w:color="auto" w:fill="auto"/>
            <w:noWrap/>
            <w:vAlign w:val="bottom"/>
            <w:hideMark/>
          </w:tcPr>
          <w:p w14:paraId="36D7B538"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76 </w:t>
            </w:r>
          </w:p>
        </w:tc>
        <w:tc>
          <w:tcPr>
            <w:tcW w:w="670" w:type="pct"/>
            <w:tcBorders>
              <w:top w:val="nil"/>
              <w:left w:val="nil"/>
              <w:bottom w:val="single" w:sz="4" w:space="0" w:color="A6A6A6"/>
              <w:right w:val="single" w:sz="4" w:space="0" w:color="A6A6A6"/>
            </w:tcBorders>
            <w:shd w:val="clear" w:color="auto" w:fill="auto"/>
            <w:noWrap/>
            <w:vAlign w:val="bottom"/>
            <w:hideMark/>
          </w:tcPr>
          <w:p w14:paraId="0C5008B4"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76 </w:t>
            </w:r>
          </w:p>
        </w:tc>
        <w:tc>
          <w:tcPr>
            <w:tcW w:w="661" w:type="pct"/>
            <w:tcBorders>
              <w:top w:val="nil"/>
              <w:left w:val="nil"/>
              <w:bottom w:val="single" w:sz="4" w:space="0" w:color="A6A6A6"/>
              <w:right w:val="single" w:sz="4" w:space="0" w:color="A6A6A6"/>
            </w:tcBorders>
            <w:shd w:val="clear" w:color="auto" w:fill="auto"/>
            <w:noWrap/>
            <w:vAlign w:val="bottom"/>
            <w:hideMark/>
          </w:tcPr>
          <w:p w14:paraId="756A8F5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146 </w:t>
            </w:r>
          </w:p>
        </w:tc>
        <w:tc>
          <w:tcPr>
            <w:tcW w:w="690" w:type="pct"/>
            <w:tcBorders>
              <w:top w:val="nil"/>
              <w:left w:val="nil"/>
              <w:bottom w:val="single" w:sz="4" w:space="0" w:color="A6A6A6"/>
              <w:right w:val="single" w:sz="4" w:space="0" w:color="A6A6A6"/>
            </w:tcBorders>
            <w:shd w:val="clear" w:color="auto" w:fill="auto"/>
            <w:noWrap/>
            <w:vAlign w:val="bottom"/>
            <w:hideMark/>
          </w:tcPr>
          <w:p w14:paraId="140923E5"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77 </w:t>
            </w:r>
          </w:p>
        </w:tc>
        <w:tc>
          <w:tcPr>
            <w:tcW w:w="798" w:type="pct"/>
            <w:tcBorders>
              <w:top w:val="nil"/>
              <w:left w:val="nil"/>
              <w:bottom w:val="single" w:sz="4" w:space="0" w:color="A6A6A6"/>
              <w:right w:val="single" w:sz="4" w:space="0" w:color="A6A6A6"/>
            </w:tcBorders>
            <w:shd w:val="clear" w:color="auto" w:fill="auto"/>
            <w:noWrap/>
            <w:vAlign w:val="bottom"/>
            <w:hideMark/>
          </w:tcPr>
          <w:p w14:paraId="3DB2B945"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375 </w:t>
            </w:r>
          </w:p>
        </w:tc>
      </w:tr>
      <w:tr w:rsidR="005744B8" w:rsidRPr="005744B8" w14:paraId="5C91C754" w14:textId="77777777" w:rsidTr="005744B8">
        <w:trPr>
          <w:trHeight w:val="300"/>
          <w:jc w:val="center"/>
        </w:trPr>
        <w:tc>
          <w:tcPr>
            <w:tcW w:w="483"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E7EE8A2"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 Los Lagos</w:t>
            </w:r>
          </w:p>
        </w:tc>
        <w:tc>
          <w:tcPr>
            <w:tcW w:w="923" w:type="pct"/>
            <w:tcBorders>
              <w:top w:val="nil"/>
              <w:left w:val="nil"/>
              <w:bottom w:val="single" w:sz="4" w:space="0" w:color="A6A6A6"/>
              <w:right w:val="single" w:sz="4" w:space="0" w:color="A6A6A6"/>
            </w:tcBorders>
            <w:shd w:val="clear" w:color="000000" w:fill="DAEEF3"/>
            <w:noWrap/>
            <w:vAlign w:val="bottom"/>
            <w:hideMark/>
          </w:tcPr>
          <w:p w14:paraId="75AF7773"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Marina del Sol Osorno</w:t>
            </w:r>
          </w:p>
        </w:tc>
        <w:tc>
          <w:tcPr>
            <w:tcW w:w="775"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6786667E"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83 </w:t>
            </w:r>
          </w:p>
        </w:tc>
        <w:tc>
          <w:tcPr>
            <w:tcW w:w="670" w:type="pct"/>
            <w:tcBorders>
              <w:top w:val="nil"/>
              <w:left w:val="nil"/>
              <w:bottom w:val="single" w:sz="4" w:space="0" w:color="A6A6A6"/>
              <w:right w:val="single" w:sz="4" w:space="0" w:color="A6A6A6"/>
            </w:tcBorders>
            <w:shd w:val="clear" w:color="000000" w:fill="DAEEF3"/>
            <w:noWrap/>
            <w:vAlign w:val="bottom"/>
            <w:hideMark/>
          </w:tcPr>
          <w:p w14:paraId="2A16E962"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59 </w:t>
            </w:r>
          </w:p>
        </w:tc>
        <w:tc>
          <w:tcPr>
            <w:tcW w:w="661" w:type="pct"/>
            <w:tcBorders>
              <w:top w:val="nil"/>
              <w:left w:val="nil"/>
              <w:bottom w:val="single" w:sz="4" w:space="0" w:color="A6A6A6"/>
              <w:right w:val="single" w:sz="4" w:space="0" w:color="A6A6A6"/>
            </w:tcBorders>
            <w:shd w:val="clear" w:color="000000" w:fill="DAEEF3"/>
            <w:noWrap/>
            <w:vAlign w:val="bottom"/>
            <w:hideMark/>
          </w:tcPr>
          <w:p w14:paraId="4C0426DF"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119 </w:t>
            </w:r>
          </w:p>
        </w:tc>
        <w:tc>
          <w:tcPr>
            <w:tcW w:w="690" w:type="pct"/>
            <w:tcBorders>
              <w:top w:val="nil"/>
              <w:left w:val="nil"/>
              <w:bottom w:val="single" w:sz="4" w:space="0" w:color="A6A6A6"/>
              <w:right w:val="single" w:sz="4" w:space="0" w:color="A6A6A6"/>
            </w:tcBorders>
            <w:shd w:val="clear" w:color="000000" w:fill="DAEEF3"/>
            <w:noWrap/>
            <w:vAlign w:val="bottom"/>
            <w:hideMark/>
          </w:tcPr>
          <w:p w14:paraId="565423C9"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51 </w:t>
            </w:r>
          </w:p>
        </w:tc>
        <w:tc>
          <w:tcPr>
            <w:tcW w:w="798"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4EDA9A3"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402 </w:t>
            </w:r>
          </w:p>
        </w:tc>
      </w:tr>
      <w:tr w:rsidR="005744B8" w:rsidRPr="005744B8" w14:paraId="3B1A62A7" w14:textId="77777777" w:rsidTr="005744B8">
        <w:trPr>
          <w:trHeight w:val="300"/>
          <w:jc w:val="center"/>
        </w:trPr>
        <w:tc>
          <w:tcPr>
            <w:tcW w:w="483" w:type="pct"/>
            <w:vMerge/>
            <w:tcBorders>
              <w:top w:val="nil"/>
              <w:left w:val="single" w:sz="4" w:space="0" w:color="A6A6A6"/>
              <w:bottom w:val="single" w:sz="4" w:space="0" w:color="A6A6A6"/>
              <w:right w:val="single" w:sz="4" w:space="0" w:color="A6A6A6"/>
            </w:tcBorders>
            <w:vAlign w:val="center"/>
            <w:hideMark/>
          </w:tcPr>
          <w:p w14:paraId="5F98B7C2"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
        </w:tc>
        <w:tc>
          <w:tcPr>
            <w:tcW w:w="923" w:type="pct"/>
            <w:tcBorders>
              <w:top w:val="nil"/>
              <w:left w:val="nil"/>
              <w:bottom w:val="single" w:sz="4" w:space="0" w:color="A6A6A6"/>
              <w:right w:val="single" w:sz="4" w:space="0" w:color="A6A6A6"/>
            </w:tcBorders>
            <w:shd w:val="clear" w:color="000000" w:fill="DAEEF3"/>
            <w:noWrap/>
            <w:vAlign w:val="bottom"/>
            <w:hideMark/>
          </w:tcPr>
          <w:p w14:paraId="00CE69F1"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proofErr w:type="spellStart"/>
            <w:r w:rsidRPr="005744B8">
              <w:rPr>
                <w:rFonts w:ascii="Calibri" w:eastAsia="Times New Roman" w:hAnsi="Calibri" w:cs="Calibri"/>
                <w:color w:val="244062"/>
                <w:sz w:val="14"/>
                <w:szCs w:val="18"/>
                <w:lang w:eastAsia="es-CL"/>
              </w:rPr>
              <w:t>Enjoy</w:t>
            </w:r>
            <w:proofErr w:type="spellEnd"/>
            <w:r w:rsidRPr="005744B8">
              <w:rPr>
                <w:rFonts w:ascii="Calibri" w:eastAsia="Times New Roman" w:hAnsi="Calibri" w:cs="Calibri"/>
                <w:color w:val="244062"/>
                <w:sz w:val="14"/>
                <w:szCs w:val="18"/>
                <w:lang w:eastAsia="es-CL"/>
              </w:rPr>
              <w:t xml:space="preserve"> Chiloé</w:t>
            </w:r>
          </w:p>
        </w:tc>
        <w:tc>
          <w:tcPr>
            <w:tcW w:w="775" w:type="pct"/>
            <w:vMerge/>
            <w:tcBorders>
              <w:top w:val="nil"/>
              <w:left w:val="single" w:sz="4" w:space="0" w:color="A6A6A6"/>
              <w:bottom w:val="single" w:sz="4" w:space="0" w:color="A6A6A6"/>
              <w:right w:val="single" w:sz="4" w:space="0" w:color="A6A6A6"/>
            </w:tcBorders>
            <w:vAlign w:val="center"/>
            <w:hideMark/>
          </w:tcPr>
          <w:p w14:paraId="09C2FB93"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c>
          <w:tcPr>
            <w:tcW w:w="670" w:type="pct"/>
            <w:tcBorders>
              <w:top w:val="nil"/>
              <w:left w:val="nil"/>
              <w:bottom w:val="single" w:sz="4" w:space="0" w:color="A6A6A6"/>
              <w:right w:val="single" w:sz="4" w:space="0" w:color="A6A6A6"/>
            </w:tcBorders>
            <w:shd w:val="clear" w:color="000000" w:fill="DAEEF3"/>
            <w:noWrap/>
            <w:vAlign w:val="bottom"/>
            <w:hideMark/>
          </w:tcPr>
          <w:p w14:paraId="1839F2A6"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24 </w:t>
            </w:r>
          </w:p>
        </w:tc>
        <w:tc>
          <w:tcPr>
            <w:tcW w:w="661" w:type="pct"/>
            <w:tcBorders>
              <w:top w:val="nil"/>
              <w:left w:val="nil"/>
              <w:bottom w:val="single" w:sz="4" w:space="0" w:color="A6A6A6"/>
              <w:right w:val="single" w:sz="4" w:space="0" w:color="A6A6A6"/>
            </w:tcBorders>
            <w:shd w:val="clear" w:color="000000" w:fill="DAEEF3"/>
            <w:noWrap/>
            <w:vAlign w:val="bottom"/>
            <w:hideMark/>
          </w:tcPr>
          <w:p w14:paraId="021E8AC9"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45 </w:t>
            </w:r>
          </w:p>
        </w:tc>
        <w:tc>
          <w:tcPr>
            <w:tcW w:w="690" w:type="pct"/>
            <w:tcBorders>
              <w:top w:val="nil"/>
              <w:left w:val="nil"/>
              <w:bottom w:val="single" w:sz="4" w:space="0" w:color="A6A6A6"/>
              <w:right w:val="single" w:sz="4" w:space="0" w:color="A6A6A6"/>
            </w:tcBorders>
            <w:shd w:val="clear" w:color="000000" w:fill="DAEEF3"/>
            <w:noWrap/>
            <w:vAlign w:val="bottom"/>
            <w:hideMark/>
          </w:tcPr>
          <w:p w14:paraId="68BEECE3"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22 </w:t>
            </w:r>
          </w:p>
        </w:tc>
        <w:tc>
          <w:tcPr>
            <w:tcW w:w="798" w:type="pct"/>
            <w:vMerge/>
            <w:tcBorders>
              <w:top w:val="nil"/>
              <w:left w:val="single" w:sz="4" w:space="0" w:color="A6A6A6"/>
              <w:bottom w:val="single" w:sz="4" w:space="0" w:color="A6A6A6"/>
              <w:right w:val="single" w:sz="4" w:space="0" w:color="A6A6A6"/>
            </w:tcBorders>
            <w:vAlign w:val="center"/>
            <w:hideMark/>
          </w:tcPr>
          <w:p w14:paraId="7F92BAEF"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p>
        </w:tc>
      </w:tr>
      <w:tr w:rsidR="005744B8" w:rsidRPr="005744B8" w14:paraId="3F01C063" w14:textId="77777777" w:rsidTr="005744B8">
        <w:trPr>
          <w:trHeight w:val="300"/>
          <w:jc w:val="center"/>
        </w:trPr>
        <w:tc>
          <w:tcPr>
            <w:tcW w:w="483" w:type="pct"/>
            <w:tcBorders>
              <w:top w:val="nil"/>
              <w:left w:val="single" w:sz="4" w:space="0" w:color="A6A6A6"/>
              <w:bottom w:val="single" w:sz="4" w:space="0" w:color="A6A6A6"/>
              <w:right w:val="single" w:sz="4" w:space="0" w:color="A6A6A6"/>
            </w:tcBorders>
            <w:shd w:val="clear" w:color="auto" w:fill="auto"/>
            <w:noWrap/>
            <w:vAlign w:val="center"/>
            <w:hideMark/>
          </w:tcPr>
          <w:p w14:paraId="7E477602"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 Aysén</w:t>
            </w:r>
          </w:p>
        </w:tc>
        <w:tc>
          <w:tcPr>
            <w:tcW w:w="923" w:type="pct"/>
            <w:tcBorders>
              <w:top w:val="nil"/>
              <w:left w:val="nil"/>
              <w:bottom w:val="single" w:sz="4" w:space="0" w:color="A6A6A6"/>
              <w:right w:val="single" w:sz="4" w:space="0" w:color="A6A6A6"/>
            </w:tcBorders>
            <w:shd w:val="clear" w:color="auto" w:fill="auto"/>
            <w:noWrap/>
            <w:vAlign w:val="bottom"/>
            <w:hideMark/>
          </w:tcPr>
          <w:p w14:paraId="168726A9"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Dreams Coyhaique</w:t>
            </w:r>
          </w:p>
        </w:tc>
        <w:tc>
          <w:tcPr>
            <w:tcW w:w="775" w:type="pct"/>
            <w:tcBorders>
              <w:top w:val="nil"/>
              <w:left w:val="nil"/>
              <w:bottom w:val="single" w:sz="4" w:space="0" w:color="A6A6A6"/>
              <w:right w:val="single" w:sz="4" w:space="0" w:color="A6A6A6"/>
            </w:tcBorders>
            <w:shd w:val="clear" w:color="auto" w:fill="auto"/>
            <w:noWrap/>
            <w:vAlign w:val="bottom"/>
            <w:hideMark/>
          </w:tcPr>
          <w:p w14:paraId="59E2E5A7"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33 </w:t>
            </w:r>
          </w:p>
        </w:tc>
        <w:tc>
          <w:tcPr>
            <w:tcW w:w="670" w:type="pct"/>
            <w:tcBorders>
              <w:top w:val="nil"/>
              <w:left w:val="nil"/>
              <w:bottom w:val="single" w:sz="4" w:space="0" w:color="A6A6A6"/>
              <w:right w:val="single" w:sz="4" w:space="0" w:color="A6A6A6"/>
            </w:tcBorders>
            <w:shd w:val="clear" w:color="auto" w:fill="auto"/>
            <w:noWrap/>
            <w:vAlign w:val="bottom"/>
            <w:hideMark/>
          </w:tcPr>
          <w:p w14:paraId="709123B6"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33 </w:t>
            </w:r>
          </w:p>
        </w:tc>
        <w:tc>
          <w:tcPr>
            <w:tcW w:w="661" w:type="pct"/>
            <w:tcBorders>
              <w:top w:val="nil"/>
              <w:left w:val="nil"/>
              <w:bottom w:val="single" w:sz="4" w:space="0" w:color="A6A6A6"/>
              <w:right w:val="single" w:sz="4" w:space="0" w:color="A6A6A6"/>
            </w:tcBorders>
            <w:shd w:val="clear" w:color="auto" w:fill="auto"/>
            <w:noWrap/>
            <w:vAlign w:val="bottom"/>
            <w:hideMark/>
          </w:tcPr>
          <w:p w14:paraId="0B13FA7A"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63 </w:t>
            </w:r>
          </w:p>
        </w:tc>
        <w:tc>
          <w:tcPr>
            <w:tcW w:w="690" w:type="pct"/>
            <w:tcBorders>
              <w:top w:val="nil"/>
              <w:left w:val="nil"/>
              <w:bottom w:val="single" w:sz="4" w:space="0" w:color="A6A6A6"/>
              <w:right w:val="single" w:sz="4" w:space="0" w:color="A6A6A6"/>
            </w:tcBorders>
            <w:shd w:val="clear" w:color="auto" w:fill="auto"/>
            <w:noWrap/>
            <w:vAlign w:val="bottom"/>
            <w:hideMark/>
          </w:tcPr>
          <w:p w14:paraId="187CC974"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32 </w:t>
            </w:r>
          </w:p>
        </w:tc>
        <w:tc>
          <w:tcPr>
            <w:tcW w:w="798" w:type="pct"/>
            <w:tcBorders>
              <w:top w:val="nil"/>
              <w:left w:val="nil"/>
              <w:bottom w:val="single" w:sz="4" w:space="0" w:color="A6A6A6"/>
              <w:right w:val="single" w:sz="4" w:space="0" w:color="A6A6A6"/>
            </w:tcBorders>
            <w:shd w:val="clear" w:color="auto" w:fill="auto"/>
            <w:noWrap/>
            <w:vAlign w:val="bottom"/>
            <w:hideMark/>
          </w:tcPr>
          <w:p w14:paraId="06492449"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161 </w:t>
            </w:r>
          </w:p>
        </w:tc>
      </w:tr>
      <w:tr w:rsidR="005744B8" w:rsidRPr="005744B8" w14:paraId="05FC3D1A" w14:textId="77777777" w:rsidTr="005744B8">
        <w:trPr>
          <w:trHeight w:val="300"/>
          <w:jc w:val="center"/>
        </w:trPr>
        <w:tc>
          <w:tcPr>
            <w:tcW w:w="483" w:type="pct"/>
            <w:tcBorders>
              <w:top w:val="nil"/>
              <w:left w:val="single" w:sz="4" w:space="0" w:color="A6A6A6"/>
              <w:bottom w:val="single" w:sz="4" w:space="0" w:color="A6A6A6"/>
              <w:right w:val="single" w:sz="4" w:space="0" w:color="A6A6A6"/>
            </w:tcBorders>
            <w:shd w:val="clear" w:color="000000" w:fill="DAEEF3"/>
            <w:noWrap/>
            <w:vAlign w:val="center"/>
            <w:hideMark/>
          </w:tcPr>
          <w:p w14:paraId="413E74D3"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De Magallanes</w:t>
            </w:r>
          </w:p>
        </w:tc>
        <w:tc>
          <w:tcPr>
            <w:tcW w:w="923" w:type="pct"/>
            <w:tcBorders>
              <w:top w:val="nil"/>
              <w:left w:val="nil"/>
              <w:bottom w:val="single" w:sz="4" w:space="0" w:color="A6A6A6"/>
              <w:right w:val="single" w:sz="4" w:space="0" w:color="A6A6A6"/>
            </w:tcBorders>
            <w:shd w:val="clear" w:color="000000" w:fill="DAEEF3"/>
            <w:noWrap/>
            <w:vAlign w:val="bottom"/>
            <w:hideMark/>
          </w:tcPr>
          <w:p w14:paraId="14149AD9" w14:textId="77777777" w:rsidR="005744B8" w:rsidRPr="005744B8" w:rsidRDefault="005744B8" w:rsidP="005744B8">
            <w:pPr>
              <w:spacing w:after="0" w:line="240" w:lineRule="auto"/>
              <w:jc w:val="lef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Dreams Punta Arenas</w:t>
            </w:r>
          </w:p>
        </w:tc>
        <w:tc>
          <w:tcPr>
            <w:tcW w:w="775" w:type="pct"/>
            <w:tcBorders>
              <w:top w:val="nil"/>
              <w:left w:val="nil"/>
              <w:bottom w:val="single" w:sz="4" w:space="0" w:color="A6A6A6"/>
              <w:right w:val="single" w:sz="4" w:space="0" w:color="A6A6A6"/>
            </w:tcBorders>
            <w:shd w:val="clear" w:color="000000" w:fill="DAEEF3"/>
            <w:noWrap/>
            <w:vAlign w:val="bottom"/>
            <w:hideMark/>
          </w:tcPr>
          <w:p w14:paraId="7585224A"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121 </w:t>
            </w:r>
          </w:p>
        </w:tc>
        <w:tc>
          <w:tcPr>
            <w:tcW w:w="670" w:type="pct"/>
            <w:tcBorders>
              <w:top w:val="nil"/>
              <w:left w:val="nil"/>
              <w:bottom w:val="single" w:sz="4" w:space="0" w:color="A6A6A6"/>
              <w:right w:val="single" w:sz="4" w:space="0" w:color="A6A6A6"/>
            </w:tcBorders>
            <w:shd w:val="clear" w:color="000000" w:fill="DAEEF3"/>
            <w:noWrap/>
            <w:vAlign w:val="bottom"/>
            <w:hideMark/>
          </w:tcPr>
          <w:p w14:paraId="0F815836"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121 </w:t>
            </w:r>
          </w:p>
        </w:tc>
        <w:tc>
          <w:tcPr>
            <w:tcW w:w="661" w:type="pct"/>
            <w:tcBorders>
              <w:top w:val="nil"/>
              <w:left w:val="nil"/>
              <w:bottom w:val="single" w:sz="4" w:space="0" w:color="A6A6A6"/>
              <w:right w:val="single" w:sz="4" w:space="0" w:color="A6A6A6"/>
            </w:tcBorders>
            <w:shd w:val="clear" w:color="000000" w:fill="DAEEF3"/>
            <w:noWrap/>
            <w:vAlign w:val="bottom"/>
            <w:hideMark/>
          </w:tcPr>
          <w:p w14:paraId="7021D5AC"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242 </w:t>
            </w:r>
          </w:p>
        </w:tc>
        <w:tc>
          <w:tcPr>
            <w:tcW w:w="690" w:type="pct"/>
            <w:tcBorders>
              <w:top w:val="nil"/>
              <w:left w:val="nil"/>
              <w:bottom w:val="single" w:sz="4" w:space="0" w:color="A6A6A6"/>
              <w:right w:val="single" w:sz="4" w:space="0" w:color="A6A6A6"/>
            </w:tcBorders>
            <w:shd w:val="clear" w:color="000000" w:fill="DAEEF3"/>
            <w:noWrap/>
            <w:vAlign w:val="bottom"/>
            <w:hideMark/>
          </w:tcPr>
          <w:p w14:paraId="5D0F2151"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108 </w:t>
            </w:r>
          </w:p>
        </w:tc>
        <w:tc>
          <w:tcPr>
            <w:tcW w:w="798" w:type="pct"/>
            <w:tcBorders>
              <w:top w:val="nil"/>
              <w:left w:val="nil"/>
              <w:bottom w:val="single" w:sz="4" w:space="0" w:color="A6A6A6"/>
              <w:right w:val="single" w:sz="4" w:space="0" w:color="A6A6A6"/>
            </w:tcBorders>
            <w:shd w:val="clear" w:color="000000" w:fill="DAEEF3"/>
            <w:noWrap/>
            <w:vAlign w:val="bottom"/>
            <w:hideMark/>
          </w:tcPr>
          <w:p w14:paraId="287E07C1" w14:textId="77777777" w:rsidR="005744B8" w:rsidRPr="005744B8" w:rsidRDefault="005744B8" w:rsidP="005744B8">
            <w:pPr>
              <w:spacing w:after="0" w:line="240" w:lineRule="auto"/>
              <w:jc w:val="right"/>
              <w:rPr>
                <w:rFonts w:ascii="Calibri" w:eastAsia="Times New Roman" w:hAnsi="Calibri" w:cs="Calibri"/>
                <w:color w:val="244062"/>
                <w:sz w:val="14"/>
                <w:szCs w:val="18"/>
                <w:lang w:eastAsia="es-CL"/>
              </w:rPr>
            </w:pPr>
            <w:r w:rsidRPr="005744B8">
              <w:rPr>
                <w:rFonts w:ascii="Calibri" w:eastAsia="Times New Roman" w:hAnsi="Calibri" w:cs="Calibri"/>
                <w:color w:val="244062"/>
                <w:sz w:val="14"/>
                <w:szCs w:val="18"/>
                <w:lang w:eastAsia="es-CL"/>
              </w:rPr>
              <w:t xml:space="preserve">                                      593 </w:t>
            </w:r>
          </w:p>
        </w:tc>
      </w:tr>
      <w:tr w:rsidR="005744B8" w:rsidRPr="005744B8" w14:paraId="0F641CCD" w14:textId="77777777" w:rsidTr="005744B8">
        <w:trPr>
          <w:trHeight w:val="300"/>
          <w:jc w:val="center"/>
        </w:trPr>
        <w:tc>
          <w:tcPr>
            <w:tcW w:w="1407"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38C0B496" w14:textId="77777777" w:rsidR="005744B8" w:rsidRPr="005744B8" w:rsidRDefault="005744B8" w:rsidP="005744B8">
            <w:pPr>
              <w:spacing w:after="0" w:line="240" w:lineRule="auto"/>
              <w:jc w:val="center"/>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 xml:space="preserve">Total </w:t>
            </w:r>
          </w:p>
        </w:tc>
        <w:tc>
          <w:tcPr>
            <w:tcW w:w="775" w:type="pct"/>
            <w:tcBorders>
              <w:top w:val="nil"/>
              <w:left w:val="nil"/>
              <w:bottom w:val="single" w:sz="4" w:space="0" w:color="A6A6A6"/>
              <w:right w:val="single" w:sz="4" w:space="0" w:color="A6A6A6"/>
            </w:tcBorders>
            <w:shd w:val="clear" w:color="000000" w:fill="1F497D"/>
            <w:vAlign w:val="center"/>
            <w:hideMark/>
          </w:tcPr>
          <w:p w14:paraId="53DCA36D" w14:textId="77777777" w:rsidR="005744B8" w:rsidRPr="005744B8" w:rsidRDefault="005744B8" w:rsidP="005744B8">
            <w:pPr>
              <w:spacing w:after="0" w:line="240" w:lineRule="auto"/>
              <w:jc w:val="right"/>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 xml:space="preserve">2.109  </w:t>
            </w:r>
          </w:p>
        </w:tc>
        <w:tc>
          <w:tcPr>
            <w:tcW w:w="670" w:type="pct"/>
            <w:tcBorders>
              <w:top w:val="nil"/>
              <w:left w:val="nil"/>
              <w:bottom w:val="single" w:sz="4" w:space="0" w:color="A6A6A6"/>
              <w:right w:val="single" w:sz="4" w:space="0" w:color="A6A6A6"/>
            </w:tcBorders>
            <w:shd w:val="clear" w:color="000000" w:fill="1F497D"/>
            <w:vAlign w:val="center"/>
            <w:hideMark/>
          </w:tcPr>
          <w:p w14:paraId="52766AA2" w14:textId="77777777" w:rsidR="005744B8" w:rsidRPr="005744B8" w:rsidRDefault="005744B8" w:rsidP="005744B8">
            <w:pPr>
              <w:spacing w:after="0" w:line="240" w:lineRule="auto"/>
              <w:jc w:val="right"/>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 xml:space="preserve">2.109  </w:t>
            </w:r>
          </w:p>
        </w:tc>
        <w:tc>
          <w:tcPr>
            <w:tcW w:w="661" w:type="pct"/>
            <w:tcBorders>
              <w:top w:val="nil"/>
              <w:left w:val="nil"/>
              <w:bottom w:val="single" w:sz="4" w:space="0" w:color="A6A6A6"/>
              <w:right w:val="single" w:sz="4" w:space="0" w:color="A6A6A6"/>
            </w:tcBorders>
            <w:shd w:val="clear" w:color="000000" w:fill="1F497D"/>
            <w:vAlign w:val="center"/>
            <w:hideMark/>
          </w:tcPr>
          <w:p w14:paraId="23E5A11E" w14:textId="77777777" w:rsidR="005744B8" w:rsidRPr="005744B8" w:rsidRDefault="005744B8" w:rsidP="005744B8">
            <w:pPr>
              <w:spacing w:after="0" w:line="240" w:lineRule="auto"/>
              <w:jc w:val="right"/>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 xml:space="preserve">4.150  </w:t>
            </w:r>
          </w:p>
        </w:tc>
        <w:tc>
          <w:tcPr>
            <w:tcW w:w="690" w:type="pct"/>
            <w:tcBorders>
              <w:top w:val="nil"/>
              <w:left w:val="nil"/>
              <w:bottom w:val="single" w:sz="4" w:space="0" w:color="A6A6A6"/>
              <w:right w:val="single" w:sz="4" w:space="0" w:color="A6A6A6"/>
            </w:tcBorders>
            <w:shd w:val="clear" w:color="000000" w:fill="1F497D"/>
            <w:vAlign w:val="center"/>
            <w:hideMark/>
          </w:tcPr>
          <w:p w14:paraId="3B62D4B0" w14:textId="77777777" w:rsidR="005744B8" w:rsidRPr="005744B8" w:rsidRDefault="005744B8" w:rsidP="005744B8">
            <w:pPr>
              <w:spacing w:after="0" w:line="240" w:lineRule="auto"/>
              <w:jc w:val="right"/>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 xml:space="preserve">1.400  </w:t>
            </w:r>
          </w:p>
        </w:tc>
        <w:tc>
          <w:tcPr>
            <w:tcW w:w="798" w:type="pct"/>
            <w:tcBorders>
              <w:top w:val="nil"/>
              <w:left w:val="nil"/>
              <w:bottom w:val="single" w:sz="4" w:space="0" w:color="A6A6A6"/>
              <w:right w:val="single" w:sz="4" w:space="0" w:color="A6A6A6"/>
            </w:tcBorders>
            <w:shd w:val="clear" w:color="000000" w:fill="1F497D"/>
            <w:vAlign w:val="center"/>
            <w:hideMark/>
          </w:tcPr>
          <w:p w14:paraId="59864724" w14:textId="77777777" w:rsidR="005744B8" w:rsidRPr="005744B8" w:rsidRDefault="005744B8" w:rsidP="005744B8">
            <w:pPr>
              <w:spacing w:after="0" w:line="240" w:lineRule="auto"/>
              <w:jc w:val="right"/>
              <w:rPr>
                <w:rFonts w:ascii="Calibri" w:eastAsia="Times New Roman" w:hAnsi="Calibri" w:cs="Calibri"/>
                <w:b/>
                <w:bCs/>
                <w:color w:val="FFFFFF"/>
                <w:sz w:val="14"/>
                <w:szCs w:val="18"/>
                <w:lang w:eastAsia="es-CL"/>
              </w:rPr>
            </w:pPr>
            <w:r w:rsidRPr="005744B8">
              <w:rPr>
                <w:rFonts w:ascii="Calibri" w:eastAsia="Times New Roman" w:hAnsi="Calibri" w:cs="Calibri"/>
                <w:b/>
                <w:bCs/>
                <w:color w:val="FFFFFF"/>
                <w:sz w:val="14"/>
                <w:szCs w:val="18"/>
                <w:lang w:eastAsia="es-CL"/>
              </w:rPr>
              <w:t xml:space="preserve">9.768  </w:t>
            </w:r>
          </w:p>
        </w:tc>
      </w:tr>
    </w:tbl>
    <w:p w14:paraId="24478CA8" w14:textId="77777777" w:rsidR="00FB3D8B" w:rsidRDefault="00FB3D8B" w:rsidP="00E0320F">
      <w:pPr>
        <w:tabs>
          <w:tab w:val="left" w:pos="0"/>
        </w:tabs>
        <w:spacing w:after="0" w:line="240" w:lineRule="auto"/>
        <w:rPr>
          <w:rFonts w:ascii="Calibri" w:hAnsi="Calibri" w:cs="Arial"/>
          <w:b/>
          <w:sz w:val="20"/>
          <w:szCs w:val="20"/>
        </w:rPr>
      </w:pPr>
    </w:p>
    <w:p w14:paraId="67EBC87E" w14:textId="0125B013" w:rsidR="005B1CCB" w:rsidRDefault="005B1CCB" w:rsidP="00E0320F">
      <w:pPr>
        <w:tabs>
          <w:tab w:val="left" w:pos="0"/>
        </w:tabs>
        <w:spacing w:after="0" w:line="240" w:lineRule="auto"/>
        <w:rPr>
          <w:rFonts w:ascii="Calibri" w:hAnsi="Calibri" w:cs="Arial"/>
          <w:b/>
          <w:sz w:val="20"/>
          <w:szCs w:val="20"/>
        </w:rPr>
      </w:pPr>
    </w:p>
    <w:p w14:paraId="1DE0897E" w14:textId="4A077047" w:rsidR="001C606D" w:rsidRDefault="001C606D" w:rsidP="00E0320F">
      <w:pPr>
        <w:tabs>
          <w:tab w:val="left" w:pos="0"/>
        </w:tabs>
        <w:spacing w:after="0" w:line="240" w:lineRule="auto"/>
        <w:rPr>
          <w:rFonts w:ascii="Calibri" w:hAnsi="Calibri" w:cs="Arial"/>
          <w:b/>
          <w:sz w:val="20"/>
          <w:szCs w:val="20"/>
        </w:rPr>
      </w:pPr>
    </w:p>
    <w:p w14:paraId="1A6B4067" w14:textId="1F928118" w:rsidR="001C606D" w:rsidRDefault="001C606D" w:rsidP="00E0320F">
      <w:pPr>
        <w:tabs>
          <w:tab w:val="left" w:pos="0"/>
        </w:tabs>
        <w:spacing w:after="0" w:line="240" w:lineRule="auto"/>
        <w:rPr>
          <w:rFonts w:ascii="Calibri" w:hAnsi="Calibri" w:cs="Arial"/>
          <w:b/>
          <w:sz w:val="20"/>
          <w:szCs w:val="20"/>
        </w:rPr>
      </w:pPr>
    </w:p>
    <w:p w14:paraId="2EF467A9" w14:textId="77777777" w:rsidR="001C606D" w:rsidRDefault="001C606D"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2015-201</w:t>
      </w:r>
      <w:r w:rsidR="00C742BA">
        <w:rPr>
          <w:b/>
        </w:rPr>
        <w:t>7</w:t>
      </w:r>
    </w:p>
    <w:p w14:paraId="134EC264" w14:textId="2EA993E8" w:rsidR="00FB3D8B" w:rsidRDefault="005744B8" w:rsidP="007C4E85">
      <w:pPr>
        <w:pStyle w:val="Prrafodelista"/>
        <w:tabs>
          <w:tab w:val="left" w:pos="0"/>
        </w:tabs>
        <w:ind w:left="0"/>
        <w:jc w:val="left"/>
        <w:rPr>
          <w:b/>
        </w:rPr>
      </w:pPr>
      <w:r>
        <w:rPr>
          <w:b/>
          <w:noProof/>
          <w:lang w:val="es-ES_tradnl" w:eastAsia="es-ES_tradnl"/>
        </w:rPr>
        <w:drawing>
          <wp:inline distT="0" distB="0" distL="0" distR="0" wp14:anchorId="44D57928" wp14:editId="5F8A18CC">
            <wp:extent cx="5354726" cy="137754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9176" cy="1386403"/>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4134FCA0" w14:textId="77777777" w:rsidR="00FB3D8B" w:rsidRPr="001E2D5F" w:rsidRDefault="00FB3D8B"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 xml:space="preserve">Ingresos brutos del juego o </w:t>
      </w:r>
      <w:proofErr w:type="spellStart"/>
      <w:r w:rsidRPr="003D15B6">
        <w:rPr>
          <w:b/>
          <w:sz w:val="21"/>
          <w:szCs w:val="21"/>
        </w:rPr>
        <w:t>win</w:t>
      </w:r>
      <w:proofErr w:type="spellEnd"/>
      <w:r w:rsidRPr="003D15B6">
        <w:rPr>
          <w:b/>
          <w:sz w:val="21"/>
          <w:szCs w:val="21"/>
        </w:rPr>
        <w:t xml:space="preserve">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5744B8"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5744B8" w:rsidRPr="00CA6263" w:rsidRDefault="005744B8" w:rsidP="005744B8">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72E29BDA"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Sep</w:t>
            </w:r>
            <w:proofErr w:type="spellEnd"/>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65AF80F9"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5C3139B9"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3E840F9A"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11CCD4D5"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7AA5E0C7"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33C82E4E"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582F1776"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2BB616A3"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2839B434"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791F4E8C"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4B49FAD8" w:rsidR="005744B8" w:rsidRPr="007C4E85" w:rsidRDefault="005744B8" w:rsidP="005744B8">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hAnsi="Calibri" w:cs="Calibri"/>
                <w:b/>
                <w:bCs/>
                <w:color w:val="FFFFFF"/>
                <w:sz w:val="12"/>
                <w:szCs w:val="12"/>
              </w:rPr>
              <w:t>Ago</w:t>
            </w:r>
            <w:proofErr w:type="spellEnd"/>
          </w:p>
        </w:tc>
      </w:tr>
      <w:tr w:rsidR="007D2B56"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7D2B56" w:rsidRPr="00CA6263" w:rsidRDefault="007D2B56" w:rsidP="007D2B56">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 millones)</w:t>
            </w:r>
          </w:p>
        </w:tc>
      </w:tr>
      <w:tr w:rsidR="007D2B56"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7D2B56" w:rsidRPr="00CA6263" w:rsidRDefault="007D2B56" w:rsidP="007D2B56">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5744B8"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3ED62F82" w:rsidR="005744B8" w:rsidRPr="007D2B56" w:rsidRDefault="005744B8" w:rsidP="005744B8">
            <w:pPr>
              <w:spacing w:line="240" w:lineRule="auto"/>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septiembre 2015-agosto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3E64993C"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10.084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19F7EEFE"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10.987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06878571"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10.019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449D474D"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10.822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05C488B5"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14.721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788DA400"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16.670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7159A92C"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12.584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1DAE5D12"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11.067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28CEAAC9"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11.083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4A96A72D"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10.675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3D6D2D91"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12.648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7E1E6F34"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11.041 </w:t>
            </w:r>
          </w:p>
        </w:tc>
      </w:tr>
      <w:tr w:rsidR="005744B8"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09D4DDCC" w:rsidR="005744B8" w:rsidRPr="007D2B56" w:rsidRDefault="005744B8" w:rsidP="005744B8">
            <w:pPr>
              <w:jc w:val="left"/>
              <w:rPr>
                <w:rFonts w:ascii="Calibri" w:hAnsi="Calibri"/>
                <w:color w:val="000000"/>
                <w:sz w:val="10"/>
                <w:szCs w:val="12"/>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septiembre 2016-agosto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6C1CE5C1"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11.455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41006D82"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11.961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6C46D5DC"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10.105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0314C4C2"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11.873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296CCE01"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15.041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6879C442"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16.030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01CD8B6A"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12.380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0EEDD92B"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11.705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02299ABD"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10.960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611C12A9"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10.906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0C1286A6"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11.476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2E7277F1"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 xml:space="preserve">                        10.858 </w:t>
            </w:r>
          </w:p>
        </w:tc>
      </w:tr>
      <w:tr w:rsidR="005744B8"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7EB80CA2" w:rsidR="005744B8" w:rsidRPr="007D2B56" w:rsidRDefault="005744B8" w:rsidP="005744B8">
            <w:pPr>
              <w:jc w:val="left"/>
              <w:rPr>
                <w:rFonts w:ascii="Calibri" w:hAnsi="Calibri"/>
                <w:color w:val="000000"/>
                <w:sz w:val="10"/>
                <w:szCs w:val="12"/>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51D7B4F9"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13,6%</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3D3546A0"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8,9%</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0D18AA63"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0,9%</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6036E9FF"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9,7%</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7CD79EDE"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2,2%</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713BB0F9"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-3,8%</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3AA20198"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-1,6%</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22B4042F"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5,8%</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06A1254A"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-1,1%</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4167178B"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2,2%</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16076F0E"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-9,3%</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3B5FEB50" w:rsidR="005744B8" w:rsidRPr="007D2B56" w:rsidRDefault="005744B8" w:rsidP="005744B8">
            <w:pPr>
              <w:jc w:val="center"/>
              <w:rPr>
                <w:rFonts w:ascii="Calibri" w:hAnsi="Calibri"/>
                <w:color w:val="000000"/>
                <w:sz w:val="10"/>
                <w:szCs w:val="12"/>
              </w:rPr>
            </w:pPr>
            <w:r>
              <w:rPr>
                <w:rFonts w:ascii="Calibri" w:hAnsi="Calibri" w:cs="Calibri"/>
                <w:color w:val="000000"/>
                <w:sz w:val="12"/>
                <w:szCs w:val="12"/>
              </w:rPr>
              <w:t>-1,7%</w:t>
            </w:r>
          </w:p>
        </w:tc>
      </w:tr>
      <w:tr w:rsidR="007D2B56"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7D2B56" w:rsidRPr="00C708EE" w:rsidRDefault="007D2B56" w:rsidP="007D2B56">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 xml:space="preserve">Crecimiento </w:t>
            </w:r>
            <w:proofErr w:type="spellStart"/>
            <w:r w:rsidRPr="00C708EE">
              <w:rPr>
                <w:rFonts w:ascii="Calibri" w:eastAsia="Times New Roman" w:hAnsi="Calibri" w:cs="Times New Roman"/>
                <w:b/>
                <w:bCs/>
                <w:color w:val="000000"/>
                <w:sz w:val="10"/>
                <w:szCs w:val="12"/>
                <w:lang w:eastAsia="es-CL"/>
              </w:rPr>
              <w:t>Win</w:t>
            </w:r>
            <w:proofErr w:type="spellEnd"/>
            <w:r w:rsidRPr="00C708EE">
              <w:rPr>
                <w:rFonts w:ascii="Calibri" w:eastAsia="Times New Roman" w:hAnsi="Calibri" w:cs="Times New Roman"/>
                <w:b/>
                <w:bCs/>
                <w:color w:val="000000"/>
                <w:sz w:val="10"/>
                <w:szCs w:val="12"/>
                <w:lang w:eastAsia="es-CL"/>
              </w:rPr>
              <w:t xml:space="preserve">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1EE9C0E0" w:rsidR="007D2B56" w:rsidRPr="00C708EE" w:rsidRDefault="00E9741E" w:rsidP="007D2B56">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1</w:t>
            </w:r>
            <w:r w:rsidR="007D2B56" w:rsidRPr="007D2B56">
              <w:rPr>
                <w:rFonts w:ascii="Calibri" w:eastAsia="Times New Roman" w:hAnsi="Calibri" w:cs="Times New Roman"/>
                <w:color w:val="000000"/>
                <w:sz w:val="12"/>
                <w:szCs w:val="12"/>
                <w:lang w:eastAsia="es-CL"/>
              </w:rPr>
              <w:t>,</w:t>
            </w:r>
            <w:r>
              <w:rPr>
                <w:rFonts w:ascii="Calibri" w:eastAsia="Times New Roman" w:hAnsi="Calibri" w:cs="Times New Roman"/>
                <w:color w:val="000000"/>
                <w:sz w:val="12"/>
                <w:szCs w:val="12"/>
                <w:lang w:eastAsia="es-CL"/>
              </w:rPr>
              <w:t>6</w:t>
            </w:r>
            <w:r w:rsidR="007D2B56" w:rsidRPr="007D2B56">
              <w:rPr>
                <w:rFonts w:ascii="Calibri" w:eastAsia="Times New Roman" w:hAnsi="Calibri" w:cs="Times New Roman"/>
                <w:color w:val="000000"/>
                <w:sz w:val="12"/>
                <w:szCs w:val="12"/>
                <w:lang w:eastAsia="es-CL"/>
              </w:rPr>
              <w:t>%</w:t>
            </w:r>
          </w:p>
        </w:tc>
      </w:tr>
      <w:tr w:rsidR="007D2B56"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7D2B56" w:rsidRPr="00C708EE" w:rsidRDefault="007D2B56" w:rsidP="007D2B56">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 xml:space="preserve">Ingresos brutos del juego o </w:t>
            </w:r>
            <w:proofErr w:type="spellStart"/>
            <w:r w:rsidRPr="00C708EE">
              <w:rPr>
                <w:rFonts w:ascii="Calibri" w:eastAsia="Times New Roman" w:hAnsi="Calibri" w:cs="Times New Roman"/>
                <w:b/>
                <w:bCs/>
                <w:color w:val="FFFFFF"/>
                <w:sz w:val="10"/>
                <w:szCs w:val="12"/>
                <w:lang w:eastAsia="es-CL"/>
              </w:rPr>
              <w:t>win</w:t>
            </w:r>
            <w:proofErr w:type="spellEnd"/>
            <w:r w:rsidRPr="00C708EE">
              <w:rPr>
                <w:rFonts w:ascii="Calibri" w:eastAsia="Times New Roman" w:hAnsi="Calibri" w:cs="Times New Roman"/>
                <w:b/>
                <w:bCs/>
                <w:color w:val="FFFFFF"/>
                <w:sz w:val="10"/>
                <w:szCs w:val="12"/>
                <w:lang w:eastAsia="es-CL"/>
              </w:rPr>
              <w:t xml:space="preserve"> (U.F.)</w:t>
            </w:r>
          </w:p>
        </w:tc>
      </w:tr>
      <w:tr w:rsidR="007D2B56"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7D2B56" w:rsidRPr="00C708EE" w:rsidRDefault="007D2B56" w:rsidP="007D2B56">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E9741E"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7A6F1065" w:rsidR="00E9741E" w:rsidRPr="00E9741E" w:rsidRDefault="00E9741E" w:rsidP="00E9741E">
            <w:pPr>
              <w:spacing w:line="240" w:lineRule="auto"/>
              <w:jc w:val="left"/>
              <w:rPr>
                <w:rFonts w:ascii="Calibri" w:hAnsi="Calibri"/>
                <w:color w:val="000000"/>
                <w:sz w:val="10"/>
                <w:szCs w:val="12"/>
              </w:rPr>
            </w:pPr>
            <w:proofErr w:type="spellStart"/>
            <w:proofErr w:type="gramStart"/>
            <w:r>
              <w:rPr>
                <w:rFonts w:ascii="Calibri" w:hAnsi="Calibri" w:cs="Calibri"/>
                <w:color w:val="000000"/>
                <w:sz w:val="10"/>
                <w:szCs w:val="12"/>
              </w:rPr>
              <w:t>Win</w:t>
            </w:r>
            <w:proofErr w:type="spellEnd"/>
            <w:r>
              <w:rPr>
                <w:rFonts w:ascii="Calibri" w:hAnsi="Calibri" w:cs="Calibri"/>
                <w:color w:val="000000"/>
                <w:sz w:val="10"/>
                <w:szCs w:val="12"/>
              </w:rPr>
              <w:t xml:space="preserve">  s</w:t>
            </w:r>
            <w:r w:rsidRPr="00E9741E">
              <w:rPr>
                <w:rFonts w:ascii="Calibri" w:hAnsi="Calibri" w:cs="Calibri"/>
                <w:color w:val="000000"/>
                <w:sz w:val="10"/>
                <w:szCs w:val="12"/>
              </w:rPr>
              <w:t>eptiembre</w:t>
            </w:r>
            <w:proofErr w:type="gramEnd"/>
            <w:r w:rsidRPr="00E9741E">
              <w:rPr>
                <w:rFonts w:ascii="Calibri" w:hAnsi="Calibri" w:cs="Calibri"/>
                <w:color w:val="000000"/>
                <w:sz w:val="10"/>
                <w:szCs w:val="12"/>
              </w:rPr>
              <w:t xml:space="preserve"> 2015-</w:t>
            </w:r>
            <w:r>
              <w:rPr>
                <w:rFonts w:ascii="Calibri" w:hAnsi="Calibri" w:cs="Calibri"/>
                <w:color w:val="000000"/>
                <w:sz w:val="10"/>
                <w:szCs w:val="12"/>
              </w:rPr>
              <w:t>a</w:t>
            </w:r>
            <w:r w:rsidRPr="00E9741E">
              <w:rPr>
                <w:rFonts w:ascii="Calibri" w:hAnsi="Calibri" w:cs="Calibri"/>
                <w:color w:val="000000"/>
                <w:sz w:val="10"/>
                <w:szCs w:val="12"/>
              </w:rPr>
              <w:t>gosto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30F43FD4"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403.625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5E0575E2"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437.971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1141ED1A"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397.669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742CE943"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426.975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14C8734C"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574.370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22D6F468"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648.215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41E8B9F5"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487.540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6DB78E54"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427.191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5A5BE436"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426.369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73FF7F67"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409.746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238A0157"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483.818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502A76CE"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421.255 </w:t>
            </w:r>
          </w:p>
        </w:tc>
      </w:tr>
      <w:tr w:rsidR="00E9741E"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257BEF9D" w:rsidR="00E9741E" w:rsidRPr="00E9741E" w:rsidRDefault="00E9741E" w:rsidP="00E9741E">
            <w:pPr>
              <w:jc w:val="left"/>
              <w:rPr>
                <w:rFonts w:ascii="Calibri" w:hAnsi="Calibri"/>
                <w:color w:val="000000"/>
                <w:sz w:val="10"/>
                <w:szCs w:val="12"/>
              </w:rPr>
            </w:pPr>
            <w:proofErr w:type="spellStart"/>
            <w:proofErr w:type="gramStart"/>
            <w:r w:rsidRPr="00E9741E">
              <w:rPr>
                <w:rFonts w:ascii="Calibri" w:hAnsi="Calibri" w:cs="Calibri"/>
                <w:color w:val="000000"/>
                <w:sz w:val="10"/>
                <w:szCs w:val="12"/>
              </w:rPr>
              <w:t>Win</w:t>
            </w:r>
            <w:proofErr w:type="spellEnd"/>
            <w:r w:rsidRPr="00E9741E">
              <w:rPr>
                <w:rFonts w:ascii="Calibri" w:hAnsi="Calibri" w:cs="Calibri"/>
                <w:color w:val="000000"/>
                <w:sz w:val="10"/>
                <w:szCs w:val="12"/>
              </w:rPr>
              <w:t xml:space="preserve">  </w:t>
            </w:r>
            <w:r>
              <w:rPr>
                <w:rFonts w:ascii="Calibri" w:hAnsi="Calibri" w:cs="Calibri"/>
                <w:color w:val="000000"/>
                <w:sz w:val="10"/>
                <w:szCs w:val="12"/>
              </w:rPr>
              <w:t>s</w:t>
            </w:r>
            <w:r w:rsidRPr="00E9741E">
              <w:rPr>
                <w:rFonts w:ascii="Calibri" w:hAnsi="Calibri" w:cs="Calibri"/>
                <w:color w:val="000000"/>
                <w:sz w:val="10"/>
                <w:szCs w:val="12"/>
              </w:rPr>
              <w:t>eptiembre</w:t>
            </w:r>
            <w:proofErr w:type="gramEnd"/>
            <w:r w:rsidRPr="00E9741E">
              <w:rPr>
                <w:rFonts w:ascii="Calibri" w:hAnsi="Calibri" w:cs="Calibri"/>
                <w:color w:val="000000"/>
                <w:sz w:val="10"/>
                <w:szCs w:val="12"/>
              </w:rPr>
              <w:t xml:space="preserve"> 2016-</w:t>
            </w:r>
            <w:r>
              <w:rPr>
                <w:rFonts w:ascii="Calibri" w:hAnsi="Calibri" w:cs="Calibri"/>
                <w:color w:val="000000"/>
                <w:sz w:val="10"/>
                <w:szCs w:val="12"/>
              </w:rPr>
              <w:t>a</w:t>
            </w:r>
            <w:r w:rsidRPr="00E9741E">
              <w:rPr>
                <w:rFonts w:ascii="Calibri" w:hAnsi="Calibri" w:cs="Calibri"/>
                <w:color w:val="000000"/>
                <w:sz w:val="10"/>
                <w:szCs w:val="12"/>
              </w:rPr>
              <w:t>gosto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788A5112"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384.520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75EBEAFA"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418.377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5082BE84"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380.753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4B96F6E7"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410.753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5E5403DB"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559.331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14C41A6B"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631.644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37B8EEAC"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475.387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0BE7558E"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416.662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0F3FE129"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416.156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3E98AB90"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400.326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03E92423"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475.529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28826A54"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 xml:space="preserve">                       415.001 </w:t>
            </w:r>
          </w:p>
        </w:tc>
      </w:tr>
      <w:tr w:rsidR="00E9741E"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6625343A" w:rsidR="00E9741E" w:rsidRPr="00E9741E" w:rsidRDefault="00E9741E" w:rsidP="00E9741E">
            <w:pPr>
              <w:jc w:val="left"/>
              <w:rPr>
                <w:rFonts w:ascii="Calibri" w:hAnsi="Calibri"/>
                <w:color w:val="000000"/>
                <w:sz w:val="10"/>
                <w:szCs w:val="12"/>
              </w:rPr>
            </w:pPr>
            <w:r w:rsidRPr="00E9741E">
              <w:rPr>
                <w:rFonts w:ascii="Calibri" w:hAnsi="Calibri" w:cs="Calibri"/>
                <w:color w:val="000000"/>
                <w:sz w:val="10"/>
                <w:szCs w:val="12"/>
              </w:rPr>
              <w:t xml:space="preserve">Crecimiento </w:t>
            </w:r>
            <w:proofErr w:type="spellStart"/>
            <w:r w:rsidRPr="00E9741E">
              <w:rPr>
                <w:rFonts w:ascii="Calibri" w:hAnsi="Calibri" w:cs="Calibri"/>
                <w:color w:val="000000"/>
                <w:sz w:val="10"/>
                <w:szCs w:val="12"/>
              </w:rPr>
              <w:t>Win</w:t>
            </w:r>
            <w:proofErr w:type="spellEnd"/>
            <w:r w:rsidRPr="00E9741E">
              <w:rPr>
                <w:rFonts w:ascii="Calibri" w:hAnsi="Calibri" w:cs="Calibri"/>
                <w:color w:val="000000"/>
                <w:sz w:val="10"/>
                <w:szCs w:val="12"/>
              </w:rPr>
              <w:t xml:space="preserve"> </w:t>
            </w:r>
            <w:r w:rsidRPr="00E9741E">
              <w:rPr>
                <w:rFonts w:ascii="Calibri" w:hAnsi="Calibri" w:cs="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1B67BECD"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-4,7%</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4A4B40AC"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-4,5%</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57E31A10"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-4,3%</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47AA4163"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-3,8%</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0696443C"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-2,6%</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0314B89B"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-2,6%</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4A1E11BB"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-2,5%</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1CBEBFAF"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-2,5%</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256151CF"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-2,4%</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1D6237E9"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-2,3%</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2F1ED72C"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-1,7%</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7C2043EE" w:rsidR="00E9741E" w:rsidRPr="00E9741E" w:rsidRDefault="00E9741E" w:rsidP="00E9741E">
            <w:pPr>
              <w:jc w:val="center"/>
              <w:rPr>
                <w:rFonts w:ascii="Calibri" w:hAnsi="Calibri"/>
                <w:color w:val="000000"/>
                <w:sz w:val="10"/>
                <w:szCs w:val="12"/>
              </w:rPr>
            </w:pPr>
            <w:r w:rsidRPr="00E9741E">
              <w:rPr>
                <w:rFonts w:ascii="Calibri" w:hAnsi="Calibri" w:cs="Calibri"/>
                <w:color w:val="000000"/>
                <w:sz w:val="10"/>
                <w:szCs w:val="12"/>
              </w:rPr>
              <w:t>-1,5%</w:t>
            </w:r>
          </w:p>
        </w:tc>
      </w:tr>
      <w:tr w:rsidR="007D2B56"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7D2B56" w:rsidRPr="00C708EE" w:rsidRDefault="007D2B56" w:rsidP="007D2B56">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 xml:space="preserve">Crecimiento </w:t>
            </w:r>
            <w:proofErr w:type="spellStart"/>
            <w:r w:rsidRPr="00C708EE">
              <w:rPr>
                <w:rFonts w:ascii="Calibri" w:eastAsia="Times New Roman" w:hAnsi="Calibri" w:cs="Times New Roman"/>
                <w:b/>
                <w:bCs/>
                <w:color w:val="000000"/>
                <w:sz w:val="10"/>
                <w:szCs w:val="12"/>
                <w:lang w:eastAsia="es-CL"/>
              </w:rPr>
              <w:t>Win</w:t>
            </w:r>
            <w:proofErr w:type="spellEnd"/>
            <w:r w:rsidRPr="00C708EE">
              <w:rPr>
                <w:rFonts w:ascii="Calibri" w:eastAsia="Times New Roman" w:hAnsi="Calibri" w:cs="Times New Roman"/>
                <w:b/>
                <w:bCs/>
                <w:color w:val="000000"/>
                <w:sz w:val="10"/>
                <w:szCs w:val="12"/>
                <w:lang w:eastAsia="es-CL"/>
              </w:rPr>
              <w:t xml:space="preserve">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1DDB18F9" w:rsidR="007D2B56" w:rsidRPr="00C708EE" w:rsidRDefault="007D2B56" w:rsidP="007D2B56">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w:t>
            </w:r>
            <w:r w:rsidR="00E9741E">
              <w:rPr>
                <w:rFonts w:ascii="Calibri" w:eastAsia="Times New Roman" w:hAnsi="Calibri" w:cs="Times New Roman"/>
                <w:color w:val="000000"/>
                <w:sz w:val="10"/>
                <w:szCs w:val="12"/>
                <w:lang w:eastAsia="es-CL"/>
              </w:rPr>
              <w:t>2</w:t>
            </w:r>
            <w:r>
              <w:rPr>
                <w:rFonts w:ascii="Calibri" w:eastAsia="Times New Roman" w:hAnsi="Calibri" w:cs="Times New Roman"/>
                <w:color w:val="000000"/>
                <w:sz w:val="10"/>
                <w:szCs w:val="12"/>
                <w:lang w:eastAsia="es-CL"/>
              </w:rPr>
              <w:t>,</w:t>
            </w:r>
            <w:r w:rsidR="00E9741E">
              <w:rPr>
                <w:rFonts w:ascii="Calibri" w:eastAsia="Times New Roman" w:hAnsi="Calibri" w:cs="Times New Roman"/>
                <w:color w:val="000000"/>
                <w:sz w:val="10"/>
                <w:szCs w:val="12"/>
                <w:lang w:eastAsia="es-CL"/>
              </w:rPr>
              <w:t>9</w:t>
            </w:r>
            <w:r w:rsidRPr="00C708EE">
              <w:rPr>
                <w:rFonts w:ascii="Calibri" w:eastAsia="Times New Roman" w:hAnsi="Calibri" w:cs="Times New Roman"/>
                <w:color w:val="000000"/>
                <w:sz w:val="10"/>
                <w:szCs w:val="12"/>
                <w:lang w:eastAsia="es-CL"/>
              </w:rPr>
              <w:t>%</w:t>
            </w:r>
          </w:p>
        </w:tc>
      </w:tr>
    </w:tbl>
    <w:p w14:paraId="36E6C52F" w14:textId="083396C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616BAD0B" w14:textId="71399442" w:rsidR="00C87255" w:rsidRDefault="00C87255" w:rsidP="00FB3D8B">
      <w:pPr>
        <w:pStyle w:val="Prrafodelista"/>
        <w:tabs>
          <w:tab w:val="left" w:pos="0"/>
          <w:tab w:val="left" w:pos="6285"/>
        </w:tabs>
        <w:ind w:left="0"/>
      </w:pPr>
    </w:p>
    <w:p w14:paraId="48F9AE53" w14:textId="2DA173DB" w:rsidR="001C606D" w:rsidRDefault="001C606D" w:rsidP="00FB3D8B">
      <w:pPr>
        <w:pStyle w:val="Prrafodelista"/>
        <w:tabs>
          <w:tab w:val="left" w:pos="0"/>
          <w:tab w:val="left" w:pos="6285"/>
        </w:tabs>
        <w:ind w:left="0"/>
      </w:pPr>
    </w:p>
    <w:p w14:paraId="25E659E6" w14:textId="11138F05" w:rsidR="001C606D" w:rsidRDefault="001C606D" w:rsidP="00FB3D8B">
      <w:pPr>
        <w:pStyle w:val="Prrafodelista"/>
        <w:tabs>
          <w:tab w:val="left" w:pos="0"/>
          <w:tab w:val="left" w:pos="6285"/>
        </w:tabs>
        <w:ind w:left="0"/>
      </w:pPr>
    </w:p>
    <w:p w14:paraId="36626AB7" w14:textId="78A4B549" w:rsidR="001C606D" w:rsidRDefault="001C606D" w:rsidP="00FB3D8B">
      <w:pPr>
        <w:pStyle w:val="Prrafodelista"/>
        <w:tabs>
          <w:tab w:val="left" w:pos="0"/>
          <w:tab w:val="left" w:pos="6285"/>
        </w:tabs>
        <w:ind w:left="0"/>
      </w:pPr>
    </w:p>
    <w:p w14:paraId="61CBA44F" w14:textId="5C6B4F07" w:rsidR="001C606D" w:rsidRDefault="001C606D" w:rsidP="00FB3D8B">
      <w:pPr>
        <w:pStyle w:val="Prrafodelista"/>
        <w:tabs>
          <w:tab w:val="left" w:pos="0"/>
          <w:tab w:val="left" w:pos="6285"/>
        </w:tabs>
        <w:ind w:left="0"/>
      </w:pPr>
    </w:p>
    <w:p w14:paraId="1BC3A1B4" w14:textId="3B1F27EB" w:rsidR="001C606D" w:rsidRDefault="001C606D" w:rsidP="00FB3D8B">
      <w:pPr>
        <w:pStyle w:val="Prrafodelista"/>
        <w:tabs>
          <w:tab w:val="left" w:pos="0"/>
          <w:tab w:val="left" w:pos="6285"/>
        </w:tabs>
        <w:ind w:left="0"/>
      </w:pPr>
    </w:p>
    <w:p w14:paraId="354B3EAF" w14:textId="22B09106" w:rsidR="001C606D" w:rsidRDefault="001C606D" w:rsidP="00FB3D8B">
      <w:pPr>
        <w:pStyle w:val="Prrafodelista"/>
        <w:tabs>
          <w:tab w:val="left" w:pos="0"/>
          <w:tab w:val="left" w:pos="6285"/>
        </w:tabs>
        <w:ind w:left="0"/>
      </w:pPr>
    </w:p>
    <w:p w14:paraId="6AB857A9" w14:textId="3D07EF59" w:rsidR="001C606D" w:rsidRDefault="001C606D" w:rsidP="00FB3D8B">
      <w:pPr>
        <w:pStyle w:val="Prrafodelista"/>
        <w:tabs>
          <w:tab w:val="left" w:pos="0"/>
          <w:tab w:val="left" w:pos="6285"/>
        </w:tabs>
        <w:ind w:left="0"/>
      </w:pPr>
    </w:p>
    <w:p w14:paraId="7475F3F5" w14:textId="6C1CFAE8" w:rsidR="001C606D" w:rsidRDefault="001C606D" w:rsidP="00FB3D8B">
      <w:pPr>
        <w:pStyle w:val="Prrafodelista"/>
        <w:tabs>
          <w:tab w:val="left" w:pos="0"/>
          <w:tab w:val="left" w:pos="6285"/>
        </w:tabs>
        <w:ind w:left="0"/>
      </w:pPr>
    </w:p>
    <w:p w14:paraId="2ED28EB1" w14:textId="5EB8F23E" w:rsidR="001C606D" w:rsidRDefault="001C606D" w:rsidP="00FB3D8B">
      <w:pPr>
        <w:pStyle w:val="Prrafodelista"/>
        <w:tabs>
          <w:tab w:val="left" w:pos="0"/>
          <w:tab w:val="left" w:pos="6285"/>
        </w:tabs>
        <w:ind w:left="0"/>
      </w:pPr>
    </w:p>
    <w:p w14:paraId="78321B79" w14:textId="3554E0D3" w:rsidR="001C606D" w:rsidRDefault="001C606D" w:rsidP="00FB3D8B">
      <w:pPr>
        <w:pStyle w:val="Prrafodelista"/>
        <w:tabs>
          <w:tab w:val="left" w:pos="0"/>
          <w:tab w:val="left" w:pos="6285"/>
        </w:tabs>
        <w:ind w:left="0"/>
      </w:pPr>
    </w:p>
    <w:p w14:paraId="1441DFD6" w14:textId="3E34DEC6" w:rsidR="001C606D" w:rsidRDefault="001C606D" w:rsidP="00FB3D8B">
      <w:pPr>
        <w:pStyle w:val="Prrafodelista"/>
        <w:tabs>
          <w:tab w:val="left" w:pos="0"/>
          <w:tab w:val="left" w:pos="6285"/>
        </w:tabs>
        <w:ind w:left="0"/>
      </w:pPr>
    </w:p>
    <w:p w14:paraId="0D531718" w14:textId="47A999EF" w:rsidR="001C606D" w:rsidRDefault="001C606D" w:rsidP="00FB3D8B">
      <w:pPr>
        <w:pStyle w:val="Prrafodelista"/>
        <w:tabs>
          <w:tab w:val="left" w:pos="0"/>
          <w:tab w:val="left" w:pos="6285"/>
        </w:tabs>
        <w:ind w:left="0"/>
      </w:pPr>
    </w:p>
    <w:p w14:paraId="508331BA" w14:textId="77777777" w:rsidR="001C606D" w:rsidRDefault="001C606D" w:rsidP="00FB3D8B">
      <w:pPr>
        <w:pStyle w:val="Prrafodelista"/>
        <w:tabs>
          <w:tab w:val="left" w:pos="0"/>
          <w:tab w:val="left" w:pos="6285"/>
        </w:tabs>
        <w:ind w:left="0"/>
      </w:pPr>
    </w:p>
    <w:p w14:paraId="7C0D4559" w14:textId="5263256D"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t>
      </w:r>
      <w:proofErr w:type="spellStart"/>
      <w:r w:rsidRPr="00E80F2B">
        <w:rPr>
          <w:b/>
        </w:rPr>
        <w:t>win</w:t>
      </w:r>
      <w:proofErr w:type="spellEnd"/>
      <w:r w:rsidRPr="00E80F2B">
        <w:rPr>
          <w:b/>
        </w:rPr>
        <w:t xml:space="preserve"> por casino de </w:t>
      </w:r>
      <w:r w:rsidR="003404EF" w:rsidRPr="00E80F2B">
        <w:rPr>
          <w:b/>
        </w:rPr>
        <w:t>juego</w:t>
      </w:r>
      <w:r w:rsidR="003404EF">
        <w:rPr>
          <w:b/>
        </w:rPr>
        <w:t>:</w:t>
      </w:r>
      <w:r>
        <w:rPr>
          <w:b/>
        </w:rPr>
        <w:t xml:space="preserve"> </w:t>
      </w:r>
      <w:r w:rsidR="00E9741E">
        <w:rPr>
          <w:b/>
        </w:rPr>
        <w:t>julio</w:t>
      </w:r>
      <w:r w:rsidR="00D2557C">
        <w:rPr>
          <w:b/>
        </w:rPr>
        <w:t xml:space="preserve"> </w:t>
      </w:r>
      <w:r w:rsidRPr="00E80F2B">
        <w:rPr>
          <w:b/>
        </w:rPr>
        <w:t>-</w:t>
      </w:r>
      <w:r>
        <w:rPr>
          <w:b/>
        </w:rPr>
        <w:t xml:space="preserve"> </w:t>
      </w:r>
      <w:r w:rsidR="00E9741E">
        <w:rPr>
          <w:b/>
        </w:rPr>
        <w:t>agost</w:t>
      </w:r>
      <w:r w:rsidR="00670528">
        <w:rPr>
          <w:b/>
        </w:rPr>
        <w:t>o</w:t>
      </w:r>
      <w:r w:rsidRPr="00E80F2B">
        <w:rPr>
          <w:b/>
        </w:rPr>
        <w:t xml:space="preserve"> 201</w:t>
      </w:r>
      <w:r w:rsidR="00C742BA">
        <w:rPr>
          <w:b/>
        </w:rPr>
        <w:t>7</w:t>
      </w:r>
    </w:p>
    <w:p w14:paraId="242A55EE" w14:textId="0F69CA53" w:rsidR="00FB3D8B" w:rsidRDefault="00E9741E" w:rsidP="00DB1263">
      <w:pPr>
        <w:pStyle w:val="Prrafodelista"/>
        <w:tabs>
          <w:tab w:val="left" w:pos="0"/>
          <w:tab w:val="left" w:pos="360"/>
          <w:tab w:val="left" w:pos="6285"/>
        </w:tabs>
        <w:ind w:left="0" w:hanging="142"/>
        <w:jc w:val="center"/>
        <w:rPr>
          <w:b/>
        </w:rPr>
      </w:pPr>
      <w:r>
        <w:rPr>
          <w:b/>
          <w:noProof/>
          <w:lang w:val="es-ES_tradnl" w:eastAsia="es-ES_tradnl"/>
        </w:rPr>
        <w:drawing>
          <wp:inline distT="0" distB="0" distL="0" distR="0" wp14:anchorId="6CAC8675" wp14:editId="0687FFDA">
            <wp:extent cx="5295183" cy="2520087"/>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8711" cy="2526525"/>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58826CAF"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67295" w14:textId="77777777" w:rsidR="009C1D22" w:rsidRDefault="009C1D22" w:rsidP="00FD382C">
      <w:r>
        <w:separator/>
      </w:r>
    </w:p>
  </w:endnote>
  <w:endnote w:type="continuationSeparator" w:id="0">
    <w:p w14:paraId="3302B7BA" w14:textId="77777777" w:rsidR="009C1D22" w:rsidRDefault="009C1D22"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DF0994" w:rsidRDefault="00DF0994">
    <w:pPr>
      <w:pStyle w:val="Piedepgina"/>
    </w:pPr>
  </w:p>
  <w:p w14:paraId="2E5D0DE2" w14:textId="77777777" w:rsidR="00DF0994" w:rsidRDefault="00DF09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0A127" w14:textId="77777777" w:rsidR="009C1D22" w:rsidRDefault="009C1D22" w:rsidP="00FD382C">
      <w:r>
        <w:separator/>
      </w:r>
    </w:p>
  </w:footnote>
  <w:footnote w:type="continuationSeparator" w:id="0">
    <w:p w14:paraId="5AC5B3FC" w14:textId="77777777" w:rsidR="009C1D22" w:rsidRDefault="009C1D22" w:rsidP="00FD382C">
      <w:r>
        <w:continuationSeparator/>
      </w:r>
    </w:p>
  </w:footnote>
  <w:footnote w:id="1">
    <w:p w14:paraId="7ABE445F" w14:textId="2CAB7C65" w:rsidR="00DF0994" w:rsidRPr="00FD382C" w:rsidRDefault="00DF0994"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w:t>
      </w:r>
      <w:proofErr w:type="spellStart"/>
      <w:r w:rsidR="00152CF7">
        <w:rPr>
          <w:lang w:val="es-ES"/>
        </w:rPr>
        <w:t>Luckia</w:t>
      </w:r>
      <w:proofErr w:type="spellEnd"/>
      <w:r w:rsidR="00152CF7">
        <w:rPr>
          <w:lang w:val="es-ES"/>
        </w:rPr>
        <w:t xml:space="preserve"> </w:t>
      </w:r>
      <w:r>
        <w:rPr>
          <w:lang w:val="es-ES"/>
        </w:rPr>
        <w:t xml:space="preserve">de Arica, </w:t>
      </w:r>
      <w:r w:rsidR="00152CF7">
        <w:rPr>
          <w:lang w:val="es-ES"/>
        </w:rPr>
        <w:t xml:space="preserve">que inició </w:t>
      </w:r>
      <w:r w:rsidR="00565C48">
        <w:rPr>
          <w:lang w:val="es-ES"/>
        </w:rPr>
        <w:t xml:space="preserve">operaciones el pasado 27 </w:t>
      </w:r>
      <w:r w:rsidR="00152CF7">
        <w:rPr>
          <w:lang w:val="es-ES"/>
        </w:rPr>
        <w:t>de septiembre</w:t>
      </w:r>
      <w:r>
        <w:rPr>
          <w:lang w:val="es-ES"/>
        </w:rPr>
        <w:t xml:space="preserve">; y uno autorizado en agosto de 2016 en la comuna de Chillán; ambos al amparo de la Ley </w:t>
      </w:r>
      <w:proofErr w:type="spellStart"/>
      <w:r>
        <w:rPr>
          <w:lang w:val="es-ES"/>
        </w:rPr>
        <w:t>N°</w:t>
      </w:r>
      <w:proofErr w:type="spellEnd"/>
      <w:r>
        <w:rPr>
          <w:lang w:val="es-ES"/>
        </w:rPr>
        <w:t xml:space="preserve"> 19.995. </w:t>
      </w:r>
    </w:p>
  </w:footnote>
  <w:footnote w:id="2">
    <w:p w14:paraId="43D57593" w14:textId="1B786C8B" w:rsidR="00DF0994" w:rsidRDefault="00DF0994"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w:t>
      </w:r>
      <w:proofErr w:type="spellStart"/>
      <w:r>
        <w:rPr>
          <w:lang w:val="es-ES"/>
        </w:rPr>
        <w:t>N°</w:t>
      </w:r>
      <w:proofErr w:type="spellEnd"/>
      <w:r>
        <w:rPr>
          <w:lang w:val="es-ES"/>
        </w:rPr>
        <w:t xml:space="preserve"> 19.995 –en UF del último día del mes- del mes de agosto en los años 2016 y 2017.</w:t>
      </w:r>
    </w:p>
  </w:footnote>
  <w:footnote w:id="3">
    <w:p w14:paraId="7DE5319D" w14:textId="57C62BCC" w:rsidR="00DF0994" w:rsidRDefault="00DF0994" w:rsidP="00A1369B">
      <w:pPr>
        <w:pStyle w:val="Textonotapie"/>
      </w:pPr>
      <w:r>
        <w:rPr>
          <w:rStyle w:val="Refdenotaalpie"/>
        </w:rPr>
        <w:footnoteRef/>
      </w:r>
      <w:r>
        <w:t xml:space="preserve"> </w:t>
      </w:r>
      <w:r>
        <w:rPr>
          <w:lang w:val="es-ES"/>
        </w:rPr>
        <w:t>Corresponde al crecimiento de los ingresos brutos acumulados, considerando el periodo septiembre de 2016-agosto de 2017, y se comparan con los ingresos acumulados del periodo septiembre de 2015-agosto de 2016, corregido por la UF del último día del mes.</w:t>
      </w:r>
    </w:p>
  </w:footnote>
  <w:footnote w:id="4">
    <w:p w14:paraId="7051DE0E" w14:textId="739068DA" w:rsidR="00DF0994" w:rsidRPr="00FD382C" w:rsidRDefault="00DF0994"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agosto en los años 2016-2017.</w:t>
      </w:r>
    </w:p>
  </w:footnote>
  <w:footnote w:id="5">
    <w:p w14:paraId="0FC0AE82" w14:textId="24A78C99" w:rsidR="00DF0994" w:rsidRPr="00D42C6C" w:rsidRDefault="00DF0994"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proofErr w:type="gramStart"/>
      <w:r w:rsidRPr="00D42C6C">
        <w:rPr>
          <w:lang w:val="es-ES"/>
        </w:rPr>
        <w:t>inform</w:t>
      </w:r>
      <w:r>
        <w:rPr>
          <w:lang w:val="es-ES"/>
        </w:rPr>
        <w:t xml:space="preserve">ándose </w:t>
      </w:r>
      <w:r w:rsidRPr="00D42C6C">
        <w:rPr>
          <w:lang w:val="es-ES"/>
        </w:rPr>
        <w:t xml:space="preserve"> las</w:t>
      </w:r>
      <w:proofErr w:type="gramEnd"/>
      <w:r w:rsidRPr="00D42C6C">
        <w:rPr>
          <w:lang w:val="es-ES"/>
        </w:rPr>
        <w:t xml:space="preserve"> variaciones reales, es decir corregidas al valor de la UF del último día del mes. En todo caso, se adjunta una tabla en el documento que mantiene la serie histórica para ambas mediciones.</w:t>
      </w:r>
    </w:p>
  </w:footnote>
  <w:footnote w:id="6">
    <w:p w14:paraId="6DF36899" w14:textId="0218C030" w:rsidR="00DF0994" w:rsidRPr="00FD382C" w:rsidRDefault="00DF0994"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septiembre de 2016 a agosto de 2017, y se comparan con los ingresos acumulados de septiembre de 2015 a agosto de 2016, corregido por la UF del último día del mes.</w:t>
      </w:r>
    </w:p>
  </w:footnote>
  <w:footnote w:id="7">
    <w:p w14:paraId="2E009857" w14:textId="77777777" w:rsidR="00DF0994" w:rsidRPr="0004531A" w:rsidRDefault="00DF0994"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8">
    <w:p w14:paraId="67E104AA" w14:textId="77777777" w:rsidR="00DF0994" w:rsidRPr="0004531A" w:rsidRDefault="00DF0994"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DF0994" w:rsidRDefault="00DF0994">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DF0994" w:rsidRDefault="00DF0994"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DF0994" w:rsidRPr="00FD382C" w:rsidRDefault="00DF0994" w:rsidP="009858E3">
    <w:pPr>
      <w:pStyle w:val="Encabezado"/>
      <w:pBdr>
        <w:bottom w:val="single" w:sz="4" w:space="1" w:color="auto"/>
      </w:pBdr>
      <w:jc w:val="right"/>
      <w:rPr>
        <w:b/>
      </w:rPr>
    </w:pPr>
    <w:r w:rsidRPr="00FD382C">
      <w:rPr>
        <w:b/>
      </w:rPr>
      <w:t>COMUNICADO DE PRENSA</w:t>
    </w:r>
  </w:p>
  <w:p w14:paraId="6D6598B1" w14:textId="2E77281C" w:rsidR="00DF0994" w:rsidRDefault="00DF0994" w:rsidP="009858E3">
    <w:pPr>
      <w:pStyle w:val="Encabezado"/>
      <w:pBdr>
        <w:bottom w:val="single" w:sz="4" w:space="1" w:color="auto"/>
      </w:pBdr>
      <w:rPr>
        <w:b/>
      </w:rPr>
    </w:pPr>
    <w:r w:rsidRPr="00FD382C">
      <w:rPr>
        <w:b/>
      </w:rPr>
      <w:tab/>
    </w:r>
    <w:r w:rsidRPr="00FD382C">
      <w:rPr>
        <w:b/>
      </w:rPr>
      <w:tab/>
    </w:r>
    <w:r w:rsidR="00565C48">
      <w:rPr>
        <w:b/>
      </w:rPr>
      <w:t xml:space="preserve">Lunes 02 de octubre </w:t>
    </w:r>
    <w:r>
      <w:rPr>
        <w:b/>
      </w:rPr>
      <w:t>de 2017</w:t>
    </w:r>
  </w:p>
  <w:p w14:paraId="6D9F9DFB" w14:textId="77777777" w:rsidR="00DF0994" w:rsidRPr="00FD382C" w:rsidRDefault="00DF0994"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5531F"/>
    <w:rsid w:val="00060DE8"/>
    <w:rsid w:val="00070FBD"/>
    <w:rsid w:val="00072032"/>
    <w:rsid w:val="00083908"/>
    <w:rsid w:val="00084B20"/>
    <w:rsid w:val="000B159F"/>
    <w:rsid w:val="000C1CF5"/>
    <w:rsid w:val="000C3DDF"/>
    <w:rsid w:val="000D1DA8"/>
    <w:rsid w:val="000D553D"/>
    <w:rsid w:val="000D6BF6"/>
    <w:rsid w:val="000E4826"/>
    <w:rsid w:val="000F3DC9"/>
    <w:rsid w:val="00106FDB"/>
    <w:rsid w:val="001152D3"/>
    <w:rsid w:val="00152CF7"/>
    <w:rsid w:val="00161F8D"/>
    <w:rsid w:val="001723D4"/>
    <w:rsid w:val="0017349B"/>
    <w:rsid w:val="00181717"/>
    <w:rsid w:val="00184005"/>
    <w:rsid w:val="00196290"/>
    <w:rsid w:val="001A472E"/>
    <w:rsid w:val="001C606D"/>
    <w:rsid w:val="001D7E9E"/>
    <w:rsid w:val="001E1087"/>
    <w:rsid w:val="001E2D5F"/>
    <w:rsid w:val="00211790"/>
    <w:rsid w:val="002406D6"/>
    <w:rsid w:val="00242E1D"/>
    <w:rsid w:val="00252772"/>
    <w:rsid w:val="00265A30"/>
    <w:rsid w:val="00271B88"/>
    <w:rsid w:val="002B5C3A"/>
    <w:rsid w:val="002C1CD9"/>
    <w:rsid w:val="002C3DCB"/>
    <w:rsid w:val="002C5E7D"/>
    <w:rsid w:val="002D141C"/>
    <w:rsid w:val="002E1BFC"/>
    <w:rsid w:val="002E651C"/>
    <w:rsid w:val="00303081"/>
    <w:rsid w:val="0031661E"/>
    <w:rsid w:val="00332EC7"/>
    <w:rsid w:val="003404EF"/>
    <w:rsid w:val="0035639B"/>
    <w:rsid w:val="00364B35"/>
    <w:rsid w:val="0036723F"/>
    <w:rsid w:val="00367E30"/>
    <w:rsid w:val="00385B98"/>
    <w:rsid w:val="003A0DBE"/>
    <w:rsid w:val="003A4D71"/>
    <w:rsid w:val="003B0C64"/>
    <w:rsid w:val="003C4894"/>
    <w:rsid w:val="003D02FA"/>
    <w:rsid w:val="003D15B6"/>
    <w:rsid w:val="003D3765"/>
    <w:rsid w:val="003E14B0"/>
    <w:rsid w:val="003E7430"/>
    <w:rsid w:val="003F334D"/>
    <w:rsid w:val="003F35F6"/>
    <w:rsid w:val="00404CEA"/>
    <w:rsid w:val="00427615"/>
    <w:rsid w:val="00457BCD"/>
    <w:rsid w:val="0046773A"/>
    <w:rsid w:val="004830B6"/>
    <w:rsid w:val="004843DA"/>
    <w:rsid w:val="00484BF8"/>
    <w:rsid w:val="004942E1"/>
    <w:rsid w:val="004D351E"/>
    <w:rsid w:val="004D3E92"/>
    <w:rsid w:val="004D4205"/>
    <w:rsid w:val="004E6E42"/>
    <w:rsid w:val="004F66A2"/>
    <w:rsid w:val="005305FC"/>
    <w:rsid w:val="00553922"/>
    <w:rsid w:val="00556C03"/>
    <w:rsid w:val="00563030"/>
    <w:rsid w:val="00565C48"/>
    <w:rsid w:val="005744B8"/>
    <w:rsid w:val="00574797"/>
    <w:rsid w:val="00584E2D"/>
    <w:rsid w:val="005B01F2"/>
    <w:rsid w:val="005B1CCB"/>
    <w:rsid w:val="005B279E"/>
    <w:rsid w:val="005B3F73"/>
    <w:rsid w:val="005F17F7"/>
    <w:rsid w:val="006022DC"/>
    <w:rsid w:val="00625D82"/>
    <w:rsid w:val="00634709"/>
    <w:rsid w:val="00643409"/>
    <w:rsid w:val="00650542"/>
    <w:rsid w:val="00670528"/>
    <w:rsid w:val="006717A5"/>
    <w:rsid w:val="006741BF"/>
    <w:rsid w:val="00696BDD"/>
    <w:rsid w:val="006A4494"/>
    <w:rsid w:val="006A7C49"/>
    <w:rsid w:val="006E0442"/>
    <w:rsid w:val="006E4FFE"/>
    <w:rsid w:val="006E6197"/>
    <w:rsid w:val="006F36F7"/>
    <w:rsid w:val="006F6C40"/>
    <w:rsid w:val="0073400A"/>
    <w:rsid w:val="00750625"/>
    <w:rsid w:val="00756B18"/>
    <w:rsid w:val="00773FDD"/>
    <w:rsid w:val="00774921"/>
    <w:rsid w:val="007B3621"/>
    <w:rsid w:val="007C4E85"/>
    <w:rsid w:val="007D2B56"/>
    <w:rsid w:val="008062BF"/>
    <w:rsid w:val="008161A3"/>
    <w:rsid w:val="00821C31"/>
    <w:rsid w:val="00826557"/>
    <w:rsid w:val="00842993"/>
    <w:rsid w:val="0088217E"/>
    <w:rsid w:val="00884744"/>
    <w:rsid w:val="0089072C"/>
    <w:rsid w:val="00895DCC"/>
    <w:rsid w:val="008B14B4"/>
    <w:rsid w:val="008B72D9"/>
    <w:rsid w:val="00901177"/>
    <w:rsid w:val="009070A6"/>
    <w:rsid w:val="009265AF"/>
    <w:rsid w:val="009303C5"/>
    <w:rsid w:val="00982E0D"/>
    <w:rsid w:val="009858E3"/>
    <w:rsid w:val="009C1D22"/>
    <w:rsid w:val="009C4049"/>
    <w:rsid w:val="009C6BC2"/>
    <w:rsid w:val="009E3CDD"/>
    <w:rsid w:val="00A12283"/>
    <w:rsid w:val="00A1369B"/>
    <w:rsid w:val="00A148ED"/>
    <w:rsid w:val="00A14A88"/>
    <w:rsid w:val="00A17581"/>
    <w:rsid w:val="00A32D29"/>
    <w:rsid w:val="00A37DA2"/>
    <w:rsid w:val="00A41280"/>
    <w:rsid w:val="00A71A63"/>
    <w:rsid w:val="00A729EA"/>
    <w:rsid w:val="00A80DE9"/>
    <w:rsid w:val="00A83B60"/>
    <w:rsid w:val="00A86A9B"/>
    <w:rsid w:val="00AA4471"/>
    <w:rsid w:val="00AB3F6D"/>
    <w:rsid w:val="00AB79C6"/>
    <w:rsid w:val="00AB7EAD"/>
    <w:rsid w:val="00AC41DA"/>
    <w:rsid w:val="00AC7932"/>
    <w:rsid w:val="00AD51A3"/>
    <w:rsid w:val="00AE152A"/>
    <w:rsid w:val="00AE5679"/>
    <w:rsid w:val="00B0351E"/>
    <w:rsid w:val="00B3402A"/>
    <w:rsid w:val="00B41AFC"/>
    <w:rsid w:val="00BA7A93"/>
    <w:rsid w:val="00BD5041"/>
    <w:rsid w:val="00BE4A05"/>
    <w:rsid w:val="00BE4A8E"/>
    <w:rsid w:val="00BF1779"/>
    <w:rsid w:val="00C005EA"/>
    <w:rsid w:val="00C2062A"/>
    <w:rsid w:val="00C5279C"/>
    <w:rsid w:val="00C547FE"/>
    <w:rsid w:val="00C708EE"/>
    <w:rsid w:val="00C742BA"/>
    <w:rsid w:val="00C8471D"/>
    <w:rsid w:val="00C87255"/>
    <w:rsid w:val="00CA4C34"/>
    <w:rsid w:val="00CB5765"/>
    <w:rsid w:val="00CF05B4"/>
    <w:rsid w:val="00CF3270"/>
    <w:rsid w:val="00CF66DC"/>
    <w:rsid w:val="00D02BB0"/>
    <w:rsid w:val="00D2135A"/>
    <w:rsid w:val="00D2557C"/>
    <w:rsid w:val="00D347ED"/>
    <w:rsid w:val="00D36F50"/>
    <w:rsid w:val="00D42C6C"/>
    <w:rsid w:val="00DB1263"/>
    <w:rsid w:val="00DD47CC"/>
    <w:rsid w:val="00DE53E5"/>
    <w:rsid w:val="00DF0994"/>
    <w:rsid w:val="00E0320F"/>
    <w:rsid w:val="00E305E8"/>
    <w:rsid w:val="00E36BEB"/>
    <w:rsid w:val="00E43884"/>
    <w:rsid w:val="00E57CA1"/>
    <w:rsid w:val="00E660DE"/>
    <w:rsid w:val="00E6618E"/>
    <w:rsid w:val="00E737FC"/>
    <w:rsid w:val="00E8098C"/>
    <w:rsid w:val="00E80F2B"/>
    <w:rsid w:val="00E810F9"/>
    <w:rsid w:val="00E850D1"/>
    <w:rsid w:val="00E9741E"/>
    <w:rsid w:val="00EA72CD"/>
    <w:rsid w:val="00EB4FB2"/>
    <w:rsid w:val="00EC0FC2"/>
    <w:rsid w:val="00EC15C7"/>
    <w:rsid w:val="00ED60A3"/>
    <w:rsid w:val="00EE51F5"/>
    <w:rsid w:val="00EE656D"/>
    <w:rsid w:val="00EF38DA"/>
    <w:rsid w:val="00F033B3"/>
    <w:rsid w:val="00F41C39"/>
    <w:rsid w:val="00F7324B"/>
    <w:rsid w:val="00F762A7"/>
    <w:rsid w:val="00F849F9"/>
    <w:rsid w:val="00F86774"/>
    <w:rsid w:val="00F9221C"/>
    <w:rsid w:val="00FB3D8B"/>
    <w:rsid w:val="00FB5931"/>
    <w:rsid w:val="00FD382C"/>
    <w:rsid w:val="00FE6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C5F6-D525-4B26-A40C-59143E5E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2545</Words>
  <Characters>14002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2017-08-24T13:54:00Z</cp:lastPrinted>
  <dcterms:created xsi:type="dcterms:W3CDTF">2017-10-02T11:57:00Z</dcterms:created>
  <dcterms:modified xsi:type="dcterms:W3CDTF">2017-10-03T13:49:00Z</dcterms:modified>
</cp:coreProperties>
</file>