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D2B" w14:textId="0E06BA0E" w:rsidR="00ED60A3"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w:t>
      </w:r>
      <w:r w:rsidR="00A17581">
        <w:rPr>
          <w:sz w:val="28"/>
          <w:szCs w:val="28"/>
        </w:rPr>
        <w:t>6</w:t>
      </w:r>
      <w:r>
        <w:rPr>
          <w:sz w:val="28"/>
          <w:szCs w:val="28"/>
        </w:rPr>
        <w:t>.</w:t>
      </w:r>
      <w:r w:rsidR="00A17581">
        <w:rPr>
          <w:sz w:val="28"/>
          <w:szCs w:val="28"/>
        </w:rPr>
        <w:t>637</w:t>
      </w:r>
      <w:r>
        <w:rPr>
          <w:sz w:val="28"/>
          <w:szCs w:val="28"/>
        </w:rPr>
        <w:t xml:space="preserve"> millones en </w:t>
      </w:r>
      <w:r w:rsidR="00A17581">
        <w:rPr>
          <w:sz w:val="28"/>
          <w:szCs w:val="28"/>
        </w:rPr>
        <w:t>mayo</w:t>
      </w:r>
      <w:r w:rsidR="005B279E">
        <w:rPr>
          <w:sz w:val="28"/>
          <w:szCs w:val="28"/>
        </w:rPr>
        <w:t xml:space="preserve"> de 201</w:t>
      </w:r>
      <w:r w:rsidR="00FE65AC">
        <w:rPr>
          <w:sz w:val="28"/>
          <w:szCs w:val="28"/>
        </w:rPr>
        <w:t>7</w:t>
      </w:r>
      <w:r w:rsidR="004942E1" w:rsidRPr="004942E1">
        <w:rPr>
          <w:sz w:val="28"/>
          <w:szCs w:val="28"/>
        </w:rPr>
        <w:t xml:space="preserve"> </w:t>
      </w:r>
    </w:p>
    <w:p w14:paraId="396325CE" w14:textId="61415454" w:rsidR="00083908" w:rsidRPr="00ED60A3" w:rsidRDefault="004942E1" w:rsidP="00ED60A3">
      <w:pPr>
        <w:pStyle w:val="Ttulo1"/>
        <w:numPr>
          <w:ilvl w:val="0"/>
          <w:numId w:val="5"/>
        </w:numPr>
        <w:tabs>
          <w:tab w:val="left" w:pos="0"/>
        </w:tabs>
        <w:rPr>
          <w:i/>
          <w:sz w:val="22"/>
        </w:rPr>
      </w:pPr>
      <w:r w:rsidRPr="00ED60A3">
        <w:rPr>
          <w:i/>
          <w:sz w:val="22"/>
        </w:rPr>
        <w:t xml:space="preserve">Esto implica una variación real mensual </w:t>
      </w:r>
      <w:r w:rsidR="006E4FFE" w:rsidRPr="00ED60A3">
        <w:rPr>
          <w:i/>
          <w:sz w:val="22"/>
        </w:rPr>
        <w:t xml:space="preserve">de </w:t>
      </w:r>
      <w:r w:rsidR="00A17581" w:rsidRPr="00ED60A3">
        <w:rPr>
          <w:i/>
          <w:sz w:val="22"/>
        </w:rPr>
        <w:t>-5</w:t>
      </w:r>
      <w:r w:rsidRPr="00ED60A3">
        <w:rPr>
          <w:i/>
          <w:sz w:val="22"/>
        </w:rPr>
        <w:t>,</w:t>
      </w:r>
      <w:r w:rsidR="00A17581" w:rsidRPr="00ED60A3">
        <w:rPr>
          <w:i/>
          <w:sz w:val="22"/>
        </w:rPr>
        <w:t>6</w:t>
      </w:r>
      <w:r w:rsidRPr="00ED60A3">
        <w:rPr>
          <w:i/>
          <w:sz w:val="22"/>
        </w:rPr>
        <w:t>%</w:t>
      </w:r>
      <w:r w:rsidR="00A1369B">
        <w:rPr>
          <w:i/>
          <w:sz w:val="22"/>
          <w:vertAlign w:val="superscript"/>
        </w:rPr>
        <w:t xml:space="preserve"> </w:t>
      </w:r>
      <w:r w:rsidRPr="00ED60A3">
        <w:rPr>
          <w:i/>
          <w:sz w:val="22"/>
        </w:rPr>
        <w:t xml:space="preserve">en </w:t>
      </w:r>
      <w:r w:rsidR="005B279E" w:rsidRPr="00ED60A3">
        <w:rPr>
          <w:i/>
          <w:sz w:val="22"/>
        </w:rPr>
        <w:t xml:space="preserve">comparación con el mismo mes del </w:t>
      </w:r>
      <w:r w:rsidRPr="00ED60A3">
        <w:rPr>
          <w:i/>
          <w:sz w:val="22"/>
        </w:rPr>
        <w:t xml:space="preserve">año anterior, mientras que el crecimiento real acumulado es de </w:t>
      </w:r>
      <w:r w:rsidR="00CF3270" w:rsidRPr="00ED60A3">
        <w:rPr>
          <w:i/>
          <w:sz w:val="22"/>
        </w:rPr>
        <w:t>0</w:t>
      </w:r>
      <w:r w:rsidRPr="00ED60A3">
        <w:rPr>
          <w:i/>
          <w:sz w:val="22"/>
        </w:rPr>
        <w:t>,</w:t>
      </w:r>
      <w:r w:rsidR="00A17581" w:rsidRPr="00ED60A3">
        <w:rPr>
          <w:i/>
          <w:sz w:val="22"/>
        </w:rPr>
        <w:t>1</w:t>
      </w:r>
      <w:r w:rsidRPr="00ED60A3">
        <w:rPr>
          <w:i/>
          <w:sz w:val="22"/>
        </w:rPr>
        <w:t xml:space="preserve">% en </w:t>
      </w:r>
      <w:r w:rsidR="00F41C39" w:rsidRPr="00ED60A3">
        <w:rPr>
          <w:i/>
          <w:sz w:val="22"/>
        </w:rPr>
        <w:t>los últimos 12 meses</w:t>
      </w:r>
      <w:r w:rsidRPr="00ED60A3">
        <w:rPr>
          <w:i/>
          <w:sz w:val="22"/>
        </w:rPr>
        <w:t>.</w:t>
      </w:r>
    </w:p>
    <w:p w14:paraId="33F3757A" w14:textId="224CF87A"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1"/>
      </w:r>
      <w:r>
        <w:t xml:space="preserve"> casinos de juego autorizados por la </w:t>
      </w:r>
      <w:r w:rsidR="005B01F2">
        <w:t xml:space="preserve">Ley </w:t>
      </w:r>
      <w:proofErr w:type="spellStart"/>
      <w:r w:rsidR="005B01F2">
        <w:t>N°</w:t>
      </w:r>
      <w:proofErr w:type="spellEnd"/>
      <w:r w:rsidR="005B01F2">
        <w:t xml:space="preserve"> 19.995 </w:t>
      </w:r>
      <w:r>
        <w:t xml:space="preserve">y los </w:t>
      </w:r>
      <w:r w:rsidR="00A83B60">
        <w:t xml:space="preserve">7 </w:t>
      </w:r>
      <w:r>
        <w:t xml:space="preserve">casinos de concesión municipal, </w:t>
      </w:r>
      <w:r w:rsidR="00A729EA" w:rsidRPr="00FD382C">
        <w:t>registr</w:t>
      </w:r>
      <w:r w:rsidR="003A0DBE">
        <w:t>ó</w:t>
      </w:r>
      <w:r w:rsidR="00A729EA" w:rsidRPr="00FD382C">
        <w:t xml:space="preserve"> durante </w:t>
      </w:r>
      <w:r w:rsidR="00A17581">
        <w:t>mayo</w:t>
      </w:r>
      <w:r>
        <w:t xml:space="preserve"> </w:t>
      </w:r>
      <w:r w:rsidR="003A0DBE">
        <w:t xml:space="preserve">de 2017 </w:t>
      </w:r>
      <w:r w:rsidR="00A729EA" w:rsidRPr="00FD382C">
        <w:t>ingresos bru</w:t>
      </w:r>
      <w:r>
        <w:t>tos del juego (</w:t>
      </w:r>
      <w:proofErr w:type="spellStart"/>
      <w:r>
        <w:t>win</w:t>
      </w:r>
      <w:proofErr w:type="spellEnd"/>
      <w:r>
        <w:t xml:space="preserve">) por $ </w:t>
      </w:r>
      <w:r w:rsidR="00CF3270">
        <w:t>3</w:t>
      </w:r>
      <w:r w:rsidR="00A17581">
        <w:t>6</w:t>
      </w:r>
      <w:r>
        <w:t>.</w:t>
      </w:r>
      <w:r w:rsidR="00A17581">
        <w:t>637</w:t>
      </w:r>
      <w:r>
        <w:t xml:space="preserve"> millones</w:t>
      </w:r>
      <w:r w:rsidR="003A0DBE">
        <w:t xml:space="preserve">, lo que </w:t>
      </w:r>
      <w:r w:rsidR="005B279E" w:rsidRPr="005B279E">
        <w:t xml:space="preserve">implica una variación real mensual de </w:t>
      </w:r>
      <w:r w:rsidR="00A17581">
        <w:t>-5</w:t>
      </w:r>
      <w:r w:rsidR="005B279E" w:rsidRPr="005B279E">
        <w:t>,</w:t>
      </w:r>
      <w:r w:rsidR="00A17581">
        <w:t>6</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CF3270">
        <w:t>0</w:t>
      </w:r>
      <w:r w:rsidR="005B279E" w:rsidRPr="005B279E">
        <w:t>,</w:t>
      </w:r>
      <w:r w:rsidR="00A17581">
        <w:t>1</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214477D" w:rsidR="00070FBD" w:rsidRDefault="00070FBD" w:rsidP="00083908">
      <w:pPr>
        <w:tabs>
          <w:tab w:val="left" w:pos="0"/>
        </w:tabs>
        <w:spacing w:after="0" w:line="240" w:lineRule="auto"/>
      </w:pPr>
      <w:r>
        <w:t xml:space="preserve">Del total de $ </w:t>
      </w:r>
      <w:r w:rsidR="00CF3270">
        <w:t>3</w:t>
      </w:r>
      <w:r w:rsidR="00A17581">
        <w:t>6</w:t>
      </w:r>
      <w:r>
        <w:t>.</w:t>
      </w:r>
      <w:r w:rsidR="00A17581">
        <w:t>637</w:t>
      </w:r>
      <w:r>
        <w:t xml:space="preserve"> millones de ingresos brutos del juego o </w:t>
      </w:r>
      <w:proofErr w:type="spellStart"/>
      <w:r>
        <w:t>win</w:t>
      </w:r>
      <w:proofErr w:type="spellEnd"/>
      <w:r>
        <w:t>,</w:t>
      </w:r>
      <w:r w:rsidR="00CF3270">
        <w:t xml:space="preserve"> </w:t>
      </w:r>
      <w:r>
        <w:t xml:space="preserve"> </w:t>
      </w:r>
      <w:proofErr w:type="spellStart"/>
      <w:r w:rsidR="003F35F6">
        <w:t>Sun</w:t>
      </w:r>
      <w:proofErr w:type="spellEnd"/>
      <w:r w:rsidR="003F35F6">
        <w:t xml:space="preserve"> Monticello representó el </w:t>
      </w:r>
      <w:r w:rsidR="003C4894">
        <w:t>17,</w:t>
      </w:r>
      <w:r w:rsidR="00A17581">
        <w:t>2</w:t>
      </w:r>
      <w:r w:rsidR="003F35F6">
        <w:t xml:space="preserve">% ($ </w:t>
      </w:r>
      <w:r w:rsidR="00A17581">
        <w:t>6.288</w:t>
      </w:r>
      <w:r w:rsidR="003F35F6">
        <w:t xml:space="preserve"> millones), </w:t>
      </w:r>
      <w:r w:rsidR="00CF3270">
        <w:t>Casino de Viña del Mar 1</w:t>
      </w:r>
      <w:r w:rsidR="003C4894">
        <w:t>1,</w:t>
      </w:r>
      <w:r w:rsidR="00A17581">
        <w:t>1</w:t>
      </w:r>
      <w:r w:rsidR="00CF3270">
        <w:t xml:space="preserve">% ($ </w:t>
      </w:r>
      <w:r w:rsidR="00A17581">
        <w:t>4.082</w:t>
      </w:r>
      <w:r w:rsidR="00CF3270">
        <w:t xml:space="preserve"> millones)</w:t>
      </w:r>
      <w:r>
        <w:t xml:space="preserve">, </w:t>
      </w:r>
      <w:r w:rsidR="00A17581">
        <w:t>Marina del Sol Talcahuano 9,5 % ($ 3.468 millones),</w:t>
      </w:r>
      <w:r w:rsidR="00A17581" w:rsidRPr="006E6197">
        <w:t xml:space="preserve"> </w:t>
      </w:r>
      <w:r w:rsidR="003F35F6">
        <w:t xml:space="preserve">Casino Rinconada </w:t>
      </w:r>
      <w:r w:rsidR="00A17581">
        <w:t>7</w:t>
      </w:r>
      <w:r w:rsidR="003F35F6">
        <w:t>,</w:t>
      </w:r>
      <w:r w:rsidR="00A17581">
        <w:t>0</w:t>
      </w:r>
      <w:r w:rsidR="003F35F6">
        <w:t xml:space="preserve"> % ($ </w:t>
      </w:r>
      <w:r w:rsidR="00A17581">
        <w:t>2.569</w:t>
      </w:r>
      <w:r w:rsidR="003F35F6">
        <w:t xml:space="preserve"> millones), </w:t>
      </w:r>
      <w:proofErr w:type="spellStart"/>
      <w:r w:rsidR="00A17581">
        <w:t>Enjoy</w:t>
      </w:r>
      <w:proofErr w:type="spellEnd"/>
      <w:r w:rsidR="00A17581">
        <w:t xml:space="preserve"> Antofagasta 6,2 % ($ 2.281 millones), </w:t>
      </w:r>
      <w:r w:rsidR="006E4FFE">
        <w:t xml:space="preserve">Coquimbo </w:t>
      </w:r>
      <w:r w:rsidR="003F35F6">
        <w:t>6</w:t>
      </w:r>
      <w:r w:rsidR="006E4FFE">
        <w:t>,</w:t>
      </w:r>
      <w:r w:rsidR="00A17581">
        <w:t>1</w:t>
      </w:r>
      <w:r w:rsidR="006E4FFE">
        <w:t xml:space="preserve">% ($ </w:t>
      </w:r>
      <w:r w:rsidR="00A17581">
        <w:t>2.224</w:t>
      </w:r>
      <w:r w:rsidR="006E4FFE">
        <w:t xml:space="preserve"> millones), </w:t>
      </w:r>
      <w:r w:rsidR="003F35F6">
        <w:t>Dreams Temuco 5,</w:t>
      </w:r>
      <w:r w:rsidR="00A17581">
        <w:t>5</w:t>
      </w:r>
      <w:r w:rsidR="003F35F6">
        <w:t xml:space="preserve"> % ($ </w:t>
      </w:r>
      <w:r w:rsidR="00A17581">
        <w:t>2</w:t>
      </w:r>
      <w:r w:rsidR="003F35F6">
        <w:t>.</w:t>
      </w:r>
      <w:r w:rsidR="00A17581">
        <w:t>008</w:t>
      </w:r>
      <w:r w:rsidR="003F35F6">
        <w:t xml:space="preserve">  millones), Casino de Iquique 4,</w:t>
      </w:r>
      <w:r w:rsidR="00A17581">
        <w:t>9</w:t>
      </w:r>
      <w:r w:rsidR="003F35F6">
        <w:t xml:space="preserve"> % ($ </w:t>
      </w:r>
      <w:r w:rsidR="00A17581">
        <w:t>1.811</w:t>
      </w:r>
      <w:r w:rsidR="003F35F6">
        <w:t xml:space="preserve"> millones), Dreams Punta Arenas </w:t>
      </w:r>
      <w:r w:rsidR="00A17581">
        <w:t>4,2</w:t>
      </w:r>
      <w:r w:rsidR="003F35F6">
        <w:t xml:space="preserve"> % ($ </w:t>
      </w:r>
      <w:r w:rsidR="00A17581">
        <w:t>1.536</w:t>
      </w:r>
      <w:r w:rsidR="003F35F6">
        <w:t xml:space="preserve"> millones), </w:t>
      </w:r>
      <w:r w:rsidR="00A148ED">
        <w:t>Casino Puerto Varas 3,</w:t>
      </w:r>
      <w:r w:rsidR="00A17581">
        <w:t>8</w:t>
      </w:r>
      <w:r w:rsidR="00A148ED">
        <w:t xml:space="preserve"> % ($ </w:t>
      </w:r>
      <w:r w:rsidR="00A17581">
        <w:t>1.394</w:t>
      </w:r>
      <w:r w:rsidR="00A148ED">
        <w:t xml:space="preserve"> millones), </w:t>
      </w:r>
      <w:r w:rsidR="00A17581">
        <w:t xml:space="preserve">Marina del Sol Calama 2,9% ($ 1.073 millones), Gran Casino de Talca 2,9 % ($ 1.057 millones), </w:t>
      </w:r>
      <w:proofErr w:type="spellStart"/>
      <w:r w:rsidR="00A17581">
        <w:t>Antay</w:t>
      </w:r>
      <w:proofErr w:type="spellEnd"/>
      <w:r w:rsidR="00A17581">
        <w:t xml:space="preserve"> Casino &amp; Hotel 2,7 % ($ 998 millones),   </w:t>
      </w:r>
      <w:r w:rsidR="00A148ED">
        <w:t>Dreams Valdivia 2,</w:t>
      </w:r>
      <w:r w:rsidR="003C4894">
        <w:t>7</w:t>
      </w:r>
      <w:r w:rsidR="00A148ED">
        <w:t xml:space="preserve"> % ($ </w:t>
      </w:r>
      <w:r w:rsidR="00A17581">
        <w:t>995</w:t>
      </w:r>
      <w:r w:rsidR="00A148ED">
        <w:t xml:space="preserve"> millones),</w:t>
      </w:r>
      <w:r w:rsidR="003C4894">
        <w:t xml:space="preserve"> </w:t>
      </w:r>
      <w:r w:rsidR="00A17581">
        <w:t xml:space="preserve">Marina del Sol Osorno 2,1 % ($ 779  millones), </w:t>
      </w:r>
      <w:r w:rsidR="003C4894">
        <w:t>Casino de Pucón 2,</w:t>
      </w:r>
      <w:r w:rsidR="00A17581">
        <w:t>0</w:t>
      </w:r>
      <w:r w:rsidR="003C4894">
        <w:t xml:space="preserve"> % ($ </w:t>
      </w:r>
      <w:r w:rsidR="00A17581">
        <w:t>721</w:t>
      </w:r>
      <w:r w:rsidR="003C4894">
        <w:t xml:space="preserve"> millones), </w:t>
      </w:r>
      <w:r w:rsidR="006E6197">
        <w:t xml:space="preserve">Casino de Juegos del Pacífico </w:t>
      </w:r>
      <w:r w:rsidR="003C4894">
        <w:t>1</w:t>
      </w:r>
      <w:r w:rsidR="006E6197">
        <w:t>,</w:t>
      </w:r>
      <w:r w:rsidR="003C4894">
        <w:t>7</w:t>
      </w:r>
      <w:r w:rsidR="006E6197">
        <w:t xml:space="preserve"> % ($ </w:t>
      </w:r>
      <w:r w:rsidR="00A17581">
        <w:t>630</w:t>
      </w:r>
      <w:r w:rsidR="006E6197">
        <w:t xml:space="preserve"> millones), </w:t>
      </w:r>
      <w:r w:rsidR="00A17581">
        <w:t xml:space="preserve">Casino de Arica 1,6 % ($ 582 millones), </w:t>
      </w:r>
      <w:r w:rsidR="006E6197">
        <w:t>Casino de Colchagua 1,</w:t>
      </w:r>
      <w:r w:rsidR="00A17581">
        <w:t>6</w:t>
      </w:r>
      <w:r w:rsidR="006E6197">
        <w:t xml:space="preserve"> % ($ </w:t>
      </w:r>
      <w:r w:rsidR="00A17581">
        <w:t>571</w:t>
      </w:r>
      <w:r w:rsidR="006E6197">
        <w:t xml:space="preserve"> millones),</w:t>
      </w:r>
      <w:r w:rsidR="001E1087">
        <w:t xml:space="preserve"> </w:t>
      </w:r>
      <w:r w:rsidR="00A148ED">
        <w:t>Dreams Coyhaique 1,</w:t>
      </w:r>
      <w:r w:rsidR="00A17581">
        <w:t>3</w:t>
      </w:r>
      <w:r w:rsidR="00A148ED">
        <w:t xml:space="preserve"> % ($ </w:t>
      </w:r>
      <w:r w:rsidR="00A17581">
        <w:t>487</w:t>
      </w:r>
      <w:r w:rsidR="00A148ED">
        <w:t xml:space="preserve"> millones),</w:t>
      </w:r>
      <w:r>
        <w:t xml:space="preserve"> </w:t>
      </w:r>
      <w:r w:rsidR="003E14B0">
        <w:t>Casino Gran Los Ángeles 1,</w:t>
      </w:r>
      <w:r w:rsidR="00A17581">
        <w:t>1</w:t>
      </w:r>
      <w:r w:rsidR="003E14B0">
        <w:t xml:space="preserve"> % ($ </w:t>
      </w:r>
      <w:r w:rsidR="00A17581">
        <w:t>392</w:t>
      </w:r>
      <w:r w:rsidR="003E14B0">
        <w:t xml:space="preserve"> millones),</w:t>
      </w:r>
      <w:r w:rsidR="00CB5765">
        <w:t xml:space="preserve"> </w:t>
      </w:r>
      <w:proofErr w:type="spellStart"/>
      <w:r w:rsidR="006E6197">
        <w:t>Enjoy</w:t>
      </w:r>
      <w:proofErr w:type="spellEnd"/>
      <w:r w:rsidR="006E6197">
        <w:t xml:space="preserve"> Chiloé 0,9 % ($ </w:t>
      </w:r>
      <w:r w:rsidR="00A17581">
        <w:t>322</w:t>
      </w:r>
      <w:r w:rsidR="006E6197">
        <w:t xml:space="preserve"> millones), </w:t>
      </w:r>
      <w:r w:rsidR="00F033B3">
        <w:t>Ovalle Casino Resort S.A. 0,</w:t>
      </w:r>
      <w:r w:rsidR="00A17581">
        <w:t>6</w:t>
      </w:r>
      <w:r w:rsidR="00F033B3">
        <w:t xml:space="preserve"> % (</w:t>
      </w:r>
      <w:r w:rsidR="00A17581">
        <w:t>224</w:t>
      </w:r>
      <w:r w:rsidR="00F033B3">
        <w:t xml:space="preserve"> m</w:t>
      </w:r>
      <w:r w:rsidR="009E3CDD">
        <w:t>illones), Casino de Natales</w:t>
      </w:r>
      <w:r w:rsidR="00F033B3">
        <w:t xml:space="preserve"> 0,4 % ($1</w:t>
      </w:r>
      <w:r w:rsidR="003C4894">
        <w:t>4</w:t>
      </w:r>
      <w:r w:rsidR="00A17581">
        <w:t>8</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 xml:space="preserve">ey </w:t>
      </w:r>
      <w:proofErr w:type="spellStart"/>
      <w:r w:rsidR="0017349B" w:rsidRPr="00FB3D8B">
        <w:rPr>
          <w:b/>
        </w:rPr>
        <w:t>N°</w:t>
      </w:r>
      <w:proofErr w:type="spellEnd"/>
      <w:r w:rsidR="0017349B" w:rsidRPr="00FB3D8B">
        <w:rPr>
          <w:b/>
        </w:rPr>
        <w:t xml:space="preserve"> 19.995</w:t>
      </w:r>
    </w:p>
    <w:p w14:paraId="7C1D2E0C" w14:textId="77777777" w:rsidR="0017349B" w:rsidRDefault="0017349B" w:rsidP="00083908">
      <w:pPr>
        <w:tabs>
          <w:tab w:val="left" w:pos="0"/>
        </w:tabs>
        <w:spacing w:after="0" w:line="240" w:lineRule="auto"/>
      </w:pPr>
    </w:p>
    <w:p w14:paraId="067C7E85" w14:textId="5F073743"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w:t>
      </w:r>
      <w:proofErr w:type="spellStart"/>
      <w:r w:rsidR="00AA4471">
        <w:t>N°</w:t>
      </w:r>
      <w:proofErr w:type="spellEnd"/>
      <w:r w:rsidR="00AA4471">
        <w:t xml:space="preserve"> 19.995 alcanzaron </w:t>
      </w:r>
      <w:r w:rsidR="00AA4471" w:rsidRPr="00FD382C">
        <w:t>ingresos bru</w:t>
      </w:r>
      <w:r w:rsidR="00AA4471">
        <w:t>tos del juego (</w:t>
      </w:r>
      <w:proofErr w:type="spellStart"/>
      <w:r w:rsidR="00AA4471">
        <w:t>win</w:t>
      </w:r>
      <w:proofErr w:type="spellEnd"/>
      <w:r w:rsidR="00AA4471">
        <w:t>) por $ 2</w:t>
      </w:r>
      <w:r w:rsidR="00A17581">
        <w:t>5</w:t>
      </w:r>
      <w:r w:rsidR="00AA4471">
        <w:t>.</w:t>
      </w:r>
      <w:r w:rsidR="00A17581">
        <w:t>677</w:t>
      </w:r>
      <w:r w:rsidR="00AA4471" w:rsidRPr="00FD382C">
        <w:t xml:space="preserve"> millones,</w:t>
      </w:r>
      <w:r w:rsidR="00070FBD">
        <w:t xml:space="preserve"> lo que representa un </w:t>
      </w:r>
      <w:r w:rsidR="003C4894">
        <w:t>70</w:t>
      </w:r>
      <w:r w:rsidR="00070FBD">
        <w:t>,</w:t>
      </w:r>
      <w:r w:rsidR="00A17581">
        <w:t>1</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A17581">
        <w:t>-6</w:t>
      </w:r>
      <w:r w:rsidR="00AA4471">
        <w:t>,</w:t>
      </w:r>
      <w:r w:rsidR="00A17581">
        <w:t>5</w:t>
      </w:r>
      <w:r w:rsidR="00AA4471">
        <w:t>%</w:t>
      </w:r>
      <w:r w:rsidR="00AA4471" w:rsidRPr="00C8471D">
        <w:rPr>
          <w:rStyle w:val="Refdenotaalpie"/>
          <w:sz w:val="28"/>
          <w:szCs w:val="28"/>
        </w:rPr>
        <w:footnoteReference w:id="5"/>
      </w:r>
      <w:r w:rsidR="00AA4471">
        <w:t xml:space="preserve">, en comparación con </w:t>
      </w:r>
      <w:r w:rsidR="00A17581">
        <w:t>mayo</w:t>
      </w:r>
      <w:r w:rsidR="00AA4471">
        <w:t xml:space="preserve"> de 201</w:t>
      </w:r>
      <w:r w:rsidR="003E14B0">
        <w:t>6</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A148ED">
        <w:t>-</w:t>
      </w:r>
      <w:r w:rsidR="003E14B0">
        <w:t>0</w:t>
      </w:r>
      <w:r w:rsidR="00AA4471">
        <w:t>,</w:t>
      </w:r>
      <w:r w:rsidR="00A17581">
        <w:t>4</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3899AD04" w:rsidR="00265A30" w:rsidRDefault="00265A30" w:rsidP="00083908">
      <w:pPr>
        <w:tabs>
          <w:tab w:val="left" w:pos="0"/>
        </w:tabs>
        <w:spacing w:after="0" w:line="240" w:lineRule="auto"/>
      </w:pPr>
      <w:r>
        <w:t xml:space="preserve">En los mismos términos, las </w:t>
      </w:r>
      <w:r w:rsidR="009070A6">
        <w:t>4</w:t>
      </w:r>
      <w:r w:rsidR="00A17581">
        <w:t>37</w:t>
      </w:r>
      <w:r>
        <w:t>.</w:t>
      </w:r>
      <w:r w:rsidR="00A17581">
        <w:t>227</w:t>
      </w:r>
      <w:r>
        <w:t xml:space="preserve"> visitas registradas equivalen a una variación de </w:t>
      </w:r>
      <w:r w:rsidR="00A17581">
        <w:t>-2</w:t>
      </w:r>
      <w:r>
        <w:t>,</w:t>
      </w:r>
      <w:r w:rsidR="00A17581">
        <w:t>5</w:t>
      </w:r>
      <w:r w:rsidR="003C4894">
        <w:t xml:space="preserve">% </w:t>
      </w:r>
      <w:r>
        <w:t xml:space="preserve">en comparación con </w:t>
      </w:r>
      <w:r w:rsidR="00A17581">
        <w:t>mayo</w:t>
      </w:r>
      <w:r>
        <w:t xml:space="preserve"> de 201</w:t>
      </w:r>
      <w:r w:rsidR="003E14B0">
        <w:t>6</w:t>
      </w:r>
      <w:r w:rsidR="000D6BF6">
        <w:t xml:space="preserve"> y a un </w:t>
      </w:r>
      <w:r>
        <w:t xml:space="preserve">crecimiento </w:t>
      </w:r>
      <w:r w:rsidR="003E7430">
        <w:t xml:space="preserve">acumulado </w:t>
      </w:r>
      <w:r>
        <w:t xml:space="preserve">del </w:t>
      </w:r>
      <w:r w:rsidR="00F849F9">
        <w:t>-</w:t>
      </w:r>
      <w:r w:rsidR="009070A6">
        <w:t>0</w:t>
      </w:r>
      <w:r>
        <w:t>,</w:t>
      </w:r>
      <w:r w:rsidR="00895DCC">
        <w:t>1</w:t>
      </w:r>
      <w:r>
        <w:t>% en los últimos 12 meses.</w:t>
      </w:r>
    </w:p>
    <w:p w14:paraId="5093E9B6" w14:textId="77777777" w:rsidR="00265A30" w:rsidRDefault="00265A30" w:rsidP="00083908">
      <w:pPr>
        <w:tabs>
          <w:tab w:val="left" w:pos="0"/>
        </w:tabs>
        <w:spacing w:after="0" w:line="240" w:lineRule="auto"/>
      </w:pPr>
    </w:p>
    <w:p w14:paraId="5579C75A" w14:textId="7A8F3BBB" w:rsidR="00265A30" w:rsidRDefault="00265A30" w:rsidP="00083908">
      <w:pPr>
        <w:tabs>
          <w:tab w:val="left" w:pos="0"/>
        </w:tabs>
        <w:spacing w:after="0" w:line="240" w:lineRule="auto"/>
      </w:pPr>
      <w:r>
        <w:t xml:space="preserve">Respecto del gasto de los visitantes, durante el mes de </w:t>
      </w:r>
      <w:r w:rsidR="00895DCC">
        <w:t>mayo</w:t>
      </w:r>
      <w:r>
        <w:t xml:space="preserve"> se registró un gasto promedio de $ </w:t>
      </w:r>
      <w:r w:rsidR="00895DCC">
        <w:t>58</w:t>
      </w:r>
      <w:r>
        <w:t>.</w:t>
      </w:r>
      <w:r w:rsidR="00895DCC">
        <w:t>728</w:t>
      </w:r>
      <w:r>
        <w:t xml:space="preserve"> por visita, lo que </w:t>
      </w:r>
      <w:r w:rsidR="000D6BF6">
        <w:t xml:space="preserve">implica </w:t>
      </w:r>
      <w:r>
        <w:t xml:space="preserve">una variación </w:t>
      </w:r>
      <w:r w:rsidR="004E6E42">
        <w:t xml:space="preserve">real </w:t>
      </w:r>
      <w:r>
        <w:t xml:space="preserve">de </w:t>
      </w:r>
      <w:r w:rsidR="00895DCC">
        <w:t>-4</w:t>
      </w:r>
      <w:r w:rsidR="00E43884">
        <w:t>,</w:t>
      </w:r>
      <w:r w:rsidR="00895DCC">
        <w:t>1</w:t>
      </w:r>
      <w:r>
        <w:t xml:space="preserve">% respecto de </w:t>
      </w:r>
      <w:r w:rsidR="00895DCC">
        <w:t>mayo</w:t>
      </w:r>
      <w:r>
        <w:t xml:space="preserve"> 201</w:t>
      </w:r>
      <w:r w:rsidR="00E43884">
        <w:t>6</w:t>
      </w:r>
      <w:r>
        <w:t xml:space="preserve">, alcanzando un crecimiento acumulado real del gasto de </w:t>
      </w:r>
      <w:r w:rsidR="00895DCC">
        <w:t>-</w:t>
      </w:r>
      <w:r w:rsidR="001E1087">
        <w:t>0</w:t>
      </w:r>
      <w:r w:rsidR="00895DCC">
        <w:t>,3</w:t>
      </w:r>
      <w:r>
        <w:t>% en los últimos 12 meses.</w:t>
      </w:r>
    </w:p>
    <w:p w14:paraId="40A7363C" w14:textId="77777777" w:rsidR="00ED60A3" w:rsidRDefault="00ED60A3" w:rsidP="00083908">
      <w:pPr>
        <w:tabs>
          <w:tab w:val="left" w:pos="0"/>
        </w:tabs>
        <w:spacing w:after="0" w:line="240" w:lineRule="auto"/>
      </w:pPr>
    </w:p>
    <w:p w14:paraId="3BE1B88A" w14:textId="3B86F420"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D2135A">
        <w:t>4</w:t>
      </w:r>
      <w:r>
        <w:t>.</w:t>
      </w:r>
      <w:r w:rsidR="00895DCC">
        <w:t>156</w:t>
      </w:r>
      <w:r w:rsidR="00E43884">
        <w:t xml:space="preserve"> </w:t>
      </w:r>
      <w:r>
        <w:t>millones por concepto de impuesto al específico al juego</w:t>
      </w:r>
      <w:r>
        <w:rPr>
          <w:rStyle w:val="Refdenotaalpie"/>
        </w:rPr>
        <w:footnoteReference w:id="7"/>
      </w:r>
      <w:r>
        <w:t>, mientras que por concepto de entradas se pagó la suma de $ 1.</w:t>
      </w:r>
      <w:r w:rsidR="00F849F9">
        <w:t>4</w:t>
      </w:r>
      <w:r w:rsidR="00895DCC">
        <w:t>28</w:t>
      </w:r>
      <w:r w:rsidR="00F849F9">
        <w:t xml:space="preserve"> </w:t>
      </w:r>
      <w:r>
        <w:t>millones</w:t>
      </w:r>
      <w:r w:rsidR="000D6BF6">
        <w:t xml:space="preserve"> y por </w:t>
      </w:r>
      <w:r>
        <w:t xml:space="preserve">concepto de IVA, $ </w:t>
      </w:r>
      <w:r w:rsidR="00D2135A">
        <w:t>4</w:t>
      </w:r>
      <w:r>
        <w:t>.</w:t>
      </w:r>
      <w:r w:rsidR="00895DCC">
        <w:t>100</w:t>
      </w:r>
      <w:r>
        <w:t xml:space="preserve"> durante el mes de </w:t>
      </w:r>
      <w:r w:rsidR="005305FC">
        <w:t>mayo</w:t>
      </w:r>
      <w:r w:rsidR="009070A6">
        <w:t>.</w:t>
      </w:r>
    </w:p>
    <w:p w14:paraId="5D714EBD" w14:textId="77777777" w:rsidR="00070FBD" w:rsidRDefault="00070FBD" w:rsidP="00083908">
      <w:pPr>
        <w:tabs>
          <w:tab w:val="left" w:pos="0"/>
        </w:tabs>
        <w:spacing w:after="0" w:line="240" w:lineRule="auto"/>
      </w:pPr>
    </w:p>
    <w:p w14:paraId="5EE682DF" w14:textId="43504245"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5305FC">
        <w:t>mayo</w:t>
      </w:r>
      <w:r>
        <w:t xml:space="preserve">, en las </w:t>
      </w:r>
      <w:r w:rsidR="00F849F9">
        <w:t>9</w:t>
      </w:r>
      <w:r>
        <w:t>.</w:t>
      </w:r>
      <w:r w:rsidR="00895DCC">
        <w:t>731</w:t>
      </w:r>
      <w:r>
        <w:t xml:space="preserve"> máquinas de azar</w:t>
      </w:r>
      <w:r w:rsidR="00F849F9">
        <w:rPr>
          <w:rStyle w:val="Refdenotaalpie"/>
        </w:rPr>
        <w:footnoteReference w:id="9"/>
      </w:r>
      <w:r>
        <w:t xml:space="preserve"> que estuvieron en funcionamiento en los 17 casinos regulados ascendió a $ </w:t>
      </w:r>
      <w:r w:rsidR="00895DCC">
        <w:t>363.871</w:t>
      </w:r>
      <w:r>
        <w:t xml:space="preserve"> millones. Los premios pagados a los jugadores alcanzaron los $ </w:t>
      </w:r>
      <w:r w:rsidR="00895DCC">
        <w:t>341</w:t>
      </w:r>
      <w:r>
        <w:t>.</w:t>
      </w:r>
      <w:r w:rsidR="00895DCC">
        <w:t>641</w:t>
      </w:r>
      <w:r>
        <w:t xml:space="preserve"> millones, equivalentes al 9</w:t>
      </w:r>
      <w:r w:rsidR="00F849F9">
        <w:t>3</w:t>
      </w:r>
      <w:r>
        <w:t>,</w:t>
      </w:r>
      <w:r w:rsidR="00F849F9">
        <w:t>9</w:t>
      </w:r>
      <w:r>
        <w:t>% del total apostado</w:t>
      </w:r>
      <w:r w:rsidR="000D6BF6">
        <w:t xml:space="preserve"> y c</w:t>
      </w:r>
      <w:r>
        <w:t>omo</w:t>
      </w:r>
      <w:r w:rsidR="005B279E">
        <w:t xml:space="preserve"> resultado, el ingreso bruto o </w:t>
      </w:r>
      <w:proofErr w:type="spellStart"/>
      <w:r w:rsidR="005B279E">
        <w:t>w</w:t>
      </w:r>
      <w:r>
        <w:t>in</w:t>
      </w:r>
      <w:proofErr w:type="spellEnd"/>
      <w:r>
        <w:t xml:space="preserve"> correspondiente al juego en máquinas de azar fue de $</w:t>
      </w:r>
      <w:r w:rsidR="00D2135A">
        <w:t>22</w:t>
      </w:r>
      <w:r>
        <w:t>.</w:t>
      </w:r>
      <w:r w:rsidR="00895DCC">
        <w:t>230</w:t>
      </w:r>
      <w:r>
        <w:t xml:space="preserve"> millones</w:t>
      </w:r>
      <w:r w:rsidR="000D6BF6">
        <w:t>,</w:t>
      </w:r>
      <w:r>
        <w:t xml:space="preserve"> que equivale al 8</w:t>
      </w:r>
      <w:r w:rsidR="00895DCC">
        <w:t>6</w:t>
      </w:r>
      <w:r>
        <w:t>,</w:t>
      </w:r>
      <w:r w:rsidR="00895DCC">
        <w:t>6</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3BEDAC08" w:rsidR="00265A30" w:rsidRDefault="00070FBD" w:rsidP="00083908">
      <w:pPr>
        <w:spacing w:after="0" w:line="240" w:lineRule="auto"/>
      </w:pPr>
      <w:r>
        <w:t xml:space="preserve">Por su parte, </w:t>
      </w:r>
      <w:r w:rsidR="00265A30" w:rsidRPr="00265A30">
        <w:t>los casinos municipales obtuvieron un total de $ 1</w:t>
      </w:r>
      <w:r w:rsidR="00895DCC">
        <w:t>0</w:t>
      </w:r>
      <w:r w:rsidR="00265A30" w:rsidRPr="00265A30">
        <w:t>.</w:t>
      </w:r>
      <w:r w:rsidR="00895DCC">
        <w:t>960</w:t>
      </w:r>
      <w:r w:rsidR="00265A30" w:rsidRPr="00265A30">
        <w:t xml:space="preserve"> millones de ingresos brutos del juego o </w:t>
      </w:r>
      <w:proofErr w:type="spellStart"/>
      <w:r w:rsidR="00265A30" w:rsidRPr="00265A30">
        <w:t>win</w:t>
      </w:r>
      <w:proofErr w:type="spellEnd"/>
      <w:r w:rsidR="00265A30" w:rsidRPr="00265A30">
        <w:t xml:space="preserve">, </w:t>
      </w:r>
      <w:r>
        <w:t xml:space="preserve">lo que representa un total de </w:t>
      </w:r>
      <w:r w:rsidR="00895DCC">
        <w:t>29</w:t>
      </w:r>
      <w:r>
        <w:t>,</w:t>
      </w:r>
      <w:r w:rsidR="00895DCC">
        <w:t>9</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895DCC">
        <w:t>2</w:t>
      </w:r>
      <w:r w:rsidR="00265A30" w:rsidRPr="00265A30">
        <w:rPr>
          <w:bCs/>
        </w:rPr>
        <w:t>,</w:t>
      </w:r>
      <w:r w:rsidR="00895DCC">
        <w:rPr>
          <w:bCs/>
        </w:rPr>
        <w:t>4</w:t>
      </w:r>
      <w:r w:rsidR="00265A30" w:rsidRPr="00265A30">
        <w:rPr>
          <w:bCs/>
        </w:rPr>
        <w:t>%</w:t>
      </w:r>
      <w:r w:rsidR="00265A30" w:rsidRPr="00265A30">
        <w:t xml:space="preserve"> en comparación con </w:t>
      </w:r>
      <w:r w:rsidR="00895DCC">
        <w:t>mayo</w:t>
      </w:r>
      <w:r w:rsidR="005B3F73" w:rsidRPr="00265A30">
        <w:t> de</w:t>
      </w:r>
      <w:r w:rsidR="00265A30" w:rsidRPr="00265A30">
        <w:t xml:space="preserve"> 201</w:t>
      </w:r>
      <w:r w:rsidR="00E43884">
        <w:t>6</w:t>
      </w:r>
      <w:r w:rsidR="00265A30" w:rsidRPr="00265A30">
        <w:t xml:space="preserve"> y un crecimiento real acumulado de </w:t>
      </w:r>
      <w:r w:rsidR="00E43884">
        <w:t>-</w:t>
      </w:r>
      <w:r w:rsidR="00895DCC">
        <w:t>3</w:t>
      </w:r>
      <w:r w:rsidR="00265A30" w:rsidRPr="00265A30">
        <w:rPr>
          <w:bCs/>
        </w:rPr>
        <w:t>,</w:t>
      </w:r>
      <w:r w:rsidR="00895DCC">
        <w:rPr>
          <w:bCs/>
        </w:rPr>
        <w:t>7</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40D8032"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242E1D">
        <w:t>2</w:t>
      </w:r>
      <w:r w:rsidR="00895DCC">
        <w:t>08</w:t>
      </w:r>
      <w:r>
        <w:t>.</w:t>
      </w:r>
      <w:r w:rsidR="00895DCC">
        <w:t>137</w:t>
      </w:r>
      <w:r>
        <w:t xml:space="preserve"> visitas.</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w:t>
      </w:r>
      <w:proofErr w:type="spellStart"/>
      <w:r w:rsidR="001D7E9E">
        <w:t>N°</w:t>
      </w:r>
      <w:proofErr w:type="spellEnd"/>
      <w:r w:rsidR="001D7E9E">
        <w:t xml:space="preserve">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72871438" w:rsidR="0004531A" w:rsidRDefault="009C4049" w:rsidP="00083908">
      <w:pPr>
        <w:tabs>
          <w:tab w:val="left" w:pos="0"/>
        </w:tabs>
        <w:spacing w:after="0" w:line="240" w:lineRule="auto"/>
      </w:pPr>
      <w:r>
        <w:t xml:space="preserve">Cabe </w:t>
      </w:r>
      <w:proofErr w:type="gramStart"/>
      <w:r>
        <w:t>recordar</w:t>
      </w:r>
      <w:r w:rsidR="00A729EA">
        <w:t xml:space="preserve"> </w:t>
      </w:r>
      <w:r w:rsidR="00271B88">
        <w:t xml:space="preserve"> que</w:t>
      </w:r>
      <w:proofErr w:type="gramEnd"/>
      <w:r w:rsidR="00271B88">
        <w:t>,</w:t>
      </w:r>
      <w:r w:rsidR="00A729EA">
        <w:t xml:space="preserve"> </w:t>
      </w:r>
      <w:r>
        <w:t xml:space="preserve">desde el mes </w:t>
      </w:r>
      <w:r w:rsidR="005B01F2">
        <w:t xml:space="preserve">de mayo,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w:t>
      </w:r>
      <w:r w:rsidR="0004531A" w:rsidRPr="0004531A">
        <w:lastRenderedPageBreak/>
        <w:t xml:space="preserve">por </w:t>
      </w:r>
      <w:r w:rsidR="00AB3F6D">
        <w:t xml:space="preserve">el valor de </w:t>
      </w:r>
      <w:r w:rsidR="0004531A" w:rsidRPr="0004531A">
        <w:t>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41698313" w14:textId="77777777" w:rsidR="00C078C2" w:rsidRDefault="00C078C2" w:rsidP="00C078C2">
      <w:pPr>
        <w:tabs>
          <w:tab w:val="left" w:pos="0"/>
        </w:tabs>
      </w:pPr>
      <w:bookmarkStart w:id="0" w:name="_GoBack"/>
      <w:bookmarkEnd w:id="0"/>
      <w:r>
        <w:t xml:space="preserve">Asimismo, y en el marco de su tarea de difusión encomendada por ley, a partir de octubre de 2016, la Superintendencia reporta los resultados conjuntos, tanto de los casinos autorizados por la Ley </w:t>
      </w:r>
      <w:proofErr w:type="spellStart"/>
      <w:r>
        <w:t>N°</w:t>
      </w:r>
      <w:proofErr w:type="spellEnd"/>
      <w:r>
        <w:t xml:space="preserve"> 19.995 como de los municipales, con el objetivo de generar información más completa de la industria local. Lo anterior, a través del comunicado de prensa y del boletín estadístico que se publica mensualmente en el sitio web institucional.</w:t>
      </w:r>
    </w:p>
    <w:p w14:paraId="096B215D" w14:textId="77777777" w:rsidR="00C078C2" w:rsidRPr="00083908" w:rsidRDefault="00C078C2" w:rsidP="00083908">
      <w:pPr>
        <w:tabs>
          <w:tab w:val="left" w:pos="0"/>
        </w:tabs>
        <w:spacing w:after="0" w:line="240" w:lineRule="auto"/>
      </w:pPr>
    </w:p>
    <w:p w14:paraId="6820EF57" w14:textId="77777777" w:rsidR="009858E3" w:rsidRDefault="009858E3" w:rsidP="00E57CA1">
      <w:pPr>
        <w:tabs>
          <w:tab w:val="left" w:pos="0"/>
        </w:tabs>
        <w:spacing w:after="0" w:line="240" w:lineRule="auto"/>
        <w:jc w:val="left"/>
      </w:pPr>
      <w:r>
        <w:br w:type="page"/>
      </w:r>
    </w:p>
    <w:p w14:paraId="528ABD30" w14:textId="415D6633"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5305FC">
        <w:rPr>
          <w:rFonts w:ascii="Calibri" w:hAnsi="Calibri" w:cs="Calibri"/>
          <w:b/>
          <w:sz w:val="21"/>
          <w:szCs w:val="21"/>
        </w:rPr>
        <w:t>MAYO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5E6DBA20"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 xml:space="preserve">Industria en general (Casinos autorizados por la Ley </w:t>
      </w:r>
      <w:proofErr w:type="spellStart"/>
      <w:r>
        <w:rPr>
          <w:rFonts w:ascii="Calibri" w:hAnsi="Calibri" w:cs="Calibri"/>
          <w:b/>
          <w:sz w:val="21"/>
          <w:szCs w:val="21"/>
        </w:rPr>
        <w:t>N°</w:t>
      </w:r>
      <w:proofErr w:type="spellEnd"/>
      <w:r>
        <w:rPr>
          <w:rFonts w:ascii="Calibri" w:hAnsi="Calibri" w:cs="Calibri"/>
          <w:b/>
          <w:sz w:val="21"/>
          <w:szCs w:val="21"/>
        </w:rPr>
        <w:t xml:space="preserve"> 19.995 y Casinos Municipales</w:t>
      </w:r>
    </w:p>
    <w:p w14:paraId="065F2AA5" w14:textId="47B24255" w:rsidR="00E810F9" w:rsidRDefault="00895DCC"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01FDACB0" wp14:editId="07EAB86E">
            <wp:extent cx="5829065" cy="4003304"/>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0286" cy="4011010"/>
                    </a:xfrm>
                    <a:prstGeom prst="rect">
                      <a:avLst/>
                    </a:prstGeom>
                    <a:noFill/>
                  </pic:spPr>
                </pic:pic>
              </a:graphicData>
            </a:graphic>
          </wp:inline>
        </w:drawing>
      </w:r>
    </w:p>
    <w:p w14:paraId="38CF5176" w14:textId="328A4B8C" w:rsidR="00242E1D" w:rsidRDefault="00895DCC"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7FBB0011" wp14:editId="670B22CA">
            <wp:extent cx="4719207" cy="370459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5325" cy="3709392"/>
                    </a:xfrm>
                    <a:prstGeom prst="rect">
                      <a:avLst/>
                    </a:prstGeom>
                    <a:noFill/>
                  </pic:spPr>
                </pic:pic>
              </a:graphicData>
            </a:graphic>
          </wp:inline>
        </w:drawing>
      </w:r>
    </w:p>
    <w:p w14:paraId="7E80FF3D" w14:textId="77777777" w:rsidR="00E660DE" w:rsidRDefault="00E660DE"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 xml:space="preserve">Casinos de juego autorizados por la Ley </w:t>
      </w:r>
      <w:proofErr w:type="spellStart"/>
      <w:r w:rsidRPr="00FB3D8B">
        <w:rPr>
          <w:rFonts w:ascii="Calibri" w:hAnsi="Calibri" w:cs="Arial"/>
          <w:b/>
        </w:rPr>
        <w:t>N°</w:t>
      </w:r>
      <w:proofErr w:type="spellEnd"/>
      <w:r w:rsidRPr="00FB3D8B">
        <w:rPr>
          <w:rFonts w:ascii="Calibri" w:hAnsi="Calibri" w:cs="Arial"/>
          <w:b/>
        </w:rPr>
        <w:t xml:space="preserve">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6B5B632"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5305FC">
        <w:rPr>
          <w:b/>
        </w:rPr>
        <w:t>mayo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201CC947" w:rsidR="00FB3D8B" w:rsidRDefault="00895DCC"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4F861732" wp14:editId="3E930298">
            <wp:extent cx="5417184" cy="380619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3898" cy="3810907"/>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2E73B4A4" w:rsidR="00FB3D8B" w:rsidRPr="001E2D5F" w:rsidRDefault="00895DCC" w:rsidP="005B1CCB">
      <w:pPr>
        <w:pStyle w:val="Prrafodelista"/>
        <w:tabs>
          <w:tab w:val="left" w:pos="0"/>
        </w:tabs>
        <w:ind w:left="0" w:hanging="567"/>
        <w:rPr>
          <w:b/>
        </w:rPr>
      </w:pPr>
      <w:r>
        <w:rPr>
          <w:b/>
          <w:noProof/>
        </w:rPr>
        <w:drawing>
          <wp:inline distT="0" distB="0" distL="0" distR="0" wp14:anchorId="6D104062" wp14:editId="0A909C2C">
            <wp:extent cx="5944870" cy="21786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9280" cy="2191240"/>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77777777" w:rsidR="004F66A2" w:rsidRDefault="004F66A2" w:rsidP="00FB3D8B">
      <w:pPr>
        <w:tabs>
          <w:tab w:val="left" w:pos="0"/>
        </w:tabs>
        <w:jc w:val="center"/>
      </w:pPr>
    </w:p>
    <w:p w14:paraId="4C4FC6AE" w14:textId="607C45B7" w:rsidR="00AC7932" w:rsidRDefault="00AC7932" w:rsidP="00FB3D8B">
      <w:pPr>
        <w:tabs>
          <w:tab w:val="left" w:pos="0"/>
        </w:tabs>
        <w:jc w:val="center"/>
      </w:pPr>
    </w:p>
    <w:p w14:paraId="1A8B56CC" w14:textId="77777777" w:rsidR="00821C31" w:rsidRDefault="00821C31" w:rsidP="00FB3D8B">
      <w:pPr>
        <w:tabs>
          <w:tab w:val="left" w:pos="0"/>
        </w:tabs>
        <w:jc w:val="center"/>
      </w:pPr>
    </w:p>
    <w:p w14:paraId="02A0342D" w14:textId="77777777" w:rsidR="00196290" w:rsidRDefault="00196290"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07"/>
        <w:gridCol w:w="668"/>
        <w:gridCol w:w="647"/>
        <w:gridCol w:w="647"/>
        <w:gridCol w:w="647"/>
        <w:gridCol w:w="634"/>
        <w:gridCol w:w="647"/>
        <w:gridCol w:w="647"/>
        <w:gridCol w:w="647"/>
        <w:gridCol w:w="647"/>
        <w:gridCol w:w="662"/>
        <w:gridCol w:w="644"/>
        <w:gridCol w:w="605"/>
      </w:tblGrid>
      <w:tr w:rsidR="00895DCC" w:rsidRPr="00FD5AE7" w14:paraId="3381A192" w14:textId="77777777" w:rsidTr="005305FC">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895DCC" w:rsidRPr="00FD5AE7" w:rsidRDefault="00895DCC" w:rsidP="00895DCC">
            <w:pPr>
              <w:spacing w:after="0" w:line="240" w:lineRule="auto"/>
              <w:ind w:left="-496"/>
              <w:jc w:val="center"/>
              <w:rPr>
                <w:rFonts w:ascii="Calibri" w:eastAsia="Times New Roman" w:hAnsi="Calibri" w:cs="Times New Roman"/>
                <w:color w:val="000000"/>
                <w:sz w:val="10"/>
                <w:szCs w:val="10"/>
                <w:lang w:val="es-ES" w:eastAsia="es-ES"/>
              </w:rPr>
            </w:pPr>
          </w:p>
        </w:tc>
        <w:tc>
          <w:tcPr>
            <w:tcW w:w="422"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1869ACA7" w:rsidR="00895DCC" w:rsidRPr="00FD5AE7" w:rsidRDefault="00895DCC" w:rsidP="00895DCC">
            <w:pPr>
              <w:spacing w:line="240" w:lineRule="auto"/>
              <w:jc w:val="center"/>
              <w:rPr>
                <w:rFonts w:ascii="Calibri" w:hAnsi="Calibri"/>
                <w:b/>
                <w:bCs/>
                <w:color w:val="FFFFFF"/>
                <w:sz w:val="10"/>
                <w:szCs w:val="10"/>
              </w:rPr>
            </w:pPr>
            <w:r>
              <w:rPr>
                <w:rFonts w:ascii="Calibri" w:hAnsi="Calibri" w:cs="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15EC48E2"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43575EEA" w:rsidR="00895DCC" w:rsidRPr="00FD5AE7" w:rsidRDefault="00895DCC" w:rsidP="00895DCC">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18871B12" w:rsidR="00895DCC" w:rsidRPr="00FD5AE7" w:rsidRDefault="00895DCC" w:rsidP="00895DCC">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5F314799"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60125BC6"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2C5D2AE6"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72A8B050"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059A43CE"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Feb</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365FA88F"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Mar</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312CD985"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Abr</w:t>
            </w:r>
          </w:p>
        </w:tc>
        <w:tc>
          <w:tcPr>
            <w:tcW w:w="331" w:type="pct"/>
            <w:tcBorders>
              <w:top w:val="single" w:sz="8" w:space="0" w:color="auto"/>
              <w:left w:val="nil"/>
              <w:bottom w:val="single" w:sz="8" w:space="0" w:color="auto"/>
              <w:right w:val="single" w:sz="8" w:space="0" w:color="auto"/>
            </w:tcBorders>
            <w:shd w:val="clear" w:color="000000" w:fill="0F243E"/>
            <w:noWrap/>
            <w:vAlign w:val="bottom"/>
          </w:tcPr>
          <w:p w14:paraId="7E08D288" w14:textId="6FB5A021" w:rsidR="00895DCC" w:rsidRPr="00FD5AE7" w:rsidRDefault="00895DCC" w:rsidP="00895DCC">
            <w:pPr>
              <w:jc w:val="center"/>
              <w:rPr>
                <w:rFonts w:ascii="Calibri" w:hAnsi="Calibri"/>
                <w:b/>
                <w:bCs/>
                <w:color w:val="FFFFFF"/>
                <w:sz w:val="10"/>
                <w:szCs w:val="10"/>
              </w:rPr>
            </w:pPr>
            <w:r>
              <w:rPr>
                <w:rFonts w:ascii="Calibri" w:hAnsi="Calibri" w:cs="Calibri"/>
                <w:b/>
                <w:bCs/>
                <w:color w:val="FFFFFF"/>
                <w:sz w:val="12"/>
                <w:szCs w:val="12"/>
              </w:rPr>
              <w:t>May</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895DCC" w:rsidRPr="00FD5AE7" w14:paraId="00F41731" w14:textId="77777777" w:rsidTr="005305FC">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124AAECB" w:rsidR="00895DCC" w:rsidRPr="00FD5AE7" w:rsidRDefault="005305FC" w:rsidP="00895DCC">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junio</w:t>
            </w:r>
            <w:r w:rsidR="00895DCC">
              <w:rPr>
                <w:rFonts w:ascii="Calibri" w:hAnsi="Calibri" w:cs="Calibri"/>
                <w:color w:val="000000"/>
                <w:sz w:val="12"/>
                <w:szCs w:val="12"/>
              </w:rPr>
              <w:t xml:space="preserve"> 2015-</w:t>
            </w:r>
            <w:r>
              <w:rPr>
                <w:rFonts w:ascii="Calibri" w:hAnsi="Calibri" w:cs="Calibri"/>
                <w:color w:val="000000"/>
                <w:sz w:val="12"/>
                <w:szCs w:val="12"/>
              </w:rPr>
              <w:t>mayo</w:t>
            </w:r>
            <w:r w:rsidR="00895DCC">
              <w:rPr>
                <w:rFonts w:ascii="Calibri" w:hAnsi="Calibri" w:cs="Calibri"/>
                <w:color w:val="000000"/>
                <w:sz w:val="12"/>
                <w:szCs w:val="12"/>
              </w:rPr>
              <w:t xml:space="preserve"> 2016 ($ millones)</w:t>
            </w:r>
          </w:p>
        </w:tc>
        <w:tc>
          <w:tcPr>
            <w:tcW w:w="422"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4B3E3DF" w:rsidR="00895DCC" w:rsidRPr="00FD5AE7" w:rsidRDefault="00895DCC" w:rsidP="00895DCC">
            <w:pPr>
              <w:spacing w:line="240" w:lineRule="auto"/>
              <w:jc w:val="center"/>
              <w:rPr>
                <w:rFonts w:ascii="Calibri" w:hAnsi="Calibri"/>
                <w:color w:val="000000"/>
                <w:sz w:val="10"/>
                <w:szCs w:val="10"/>
              </w:rPr>
            </w:pPr>
            <w:r>
              <w:rPr>
                <w:rFonts w:ascii="Calibri" w:hAnsi="Calibri" w:cs="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65FF6AD5"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5D267838"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2EB9AD7C"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23.876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73EEC97C"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6AB43BD8"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0F85153E"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50803763"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77E4A236"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23.933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5C37FB3F"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25.473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43EDB5D1"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25.472 </w:t>
            </w:r>
          </w:p>
        </w:tc>
        <w:tc>
          <w:tcPr>
            <w:tcW w:w="331" w:type="pct"/>
            <w:tcBorders>
              <w:top w:val="nil"/>
              <w:left w:val="nil"/>
              <w:bottom w:val="single" w:sz="8" w:space="0" w:color="auto"/>
              <w:right w:val="single" w:sz="8" w:space="0" w:color="auto"/>
            </w:tcBorders>
            <w:shd w:val="clear" w:color="000000" w:fill="DCE6F1"/>
            <w:noWrap/>
            <w:vAlign w:val="bottom"/>
            <w:hideMark/>
          </w:tcPr>
          <w:p w14:paraId="7ED65E7F" w14:textId="69D8B5FB"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26.801 </w:t>
            </w:r>
          </w:p>
        </w:tc>
      </w:tr>
      <w:tr w:rsidR="00895DCC" w:rsidRPr="00FD5AE7" w14:paraId="34F714A0" w14:textId="77777777" w:rsidTr="005305FC">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5D5ACADA" w:rsidR="00895DCC" w:rsidRPr="00FD5AE7" w:rsidRDefault="005305FC" w:rsidP="00895DCC">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junio</w:t>
            </w:r>
            <w:r w:rsidR="00895DCC">
              <w:rPr>
                <w:rFonts w:ascii="Calibri" w:hAnsi="Calibri" w:cs="Calibri"/>
                <w:color w:val="000000"/>
                <w:sz w:val="12"/>
                <w:szCs w:val="12"/>
              </w:rPr>
              <w:t xml:space="preserve"> 2016-</w:t>
            </w:r>
            <w:r w:rsidR="00C547FE">
              <w:rPr>
                <w:rFonts w:ascii="Calibri" w:hAnsi="Calibri" w:cs="Calibri"/>
                <w:color w:val="000000"/>
                <w:sz w:val="12"/>
                <w:szCs w:val="12"/>
              </w:rPr>
              <w:t>mayo</w:t>
            </w:r>
            <w:r w:rsidR="00895DCC">
              <w:rPr>
                <w:rFonts w:ascii="Calibri" w:hAnsi="Calibri" w:cs="Calibri"/>
                <w:color w:val="000000"/>
                <w:sz w:val="12"/>
                <w:szCs w:val="12"/>
              </w:rPr>
              <w:t xml:space="preserve"> 2017 ($ millones)</w:t>
            </w:r>
          </w:p>
        </w:tc>
        <w:tc>
          <w:tcPr>
            <w:tcW w:w="422"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559758E6"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181EA4E0"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475EB087"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1F50D0D6"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25.789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146B3F8A"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20D7EC8E"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494828A8"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25.277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430F1E53"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26.011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64430BB4"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23.857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53C677E0"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27.467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734BEB9E"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27.275 </w:t>
            </w:r>
          </w:p>
        </w:tc>
        <w:tc>
          <w:tcPr>
            <w:tcW w:w="331" w:type="pct"/>
            <w:tcBorders>
              <w:top w:val="nil"/>
              <w:left w:val="nil"/>
              <w:bottom w:val="single" w:sz="8" w:space="0" w:color="auto"/>
              <w:right w:val="single" w:sz="8" w:space="0" w:color="auto"/>
            </w:tcBorders>
            <w:shd w:val="clear" w:color="000000" w:fill="DCE6F1"/>
            <w:noWrap/>
            <w:vAlign w:val="bottom"/>
            <w:hideMark/>
          </w:tcPr>
          <w:p w14:paraId="27925C99" w14:textId="4EE95C97"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 xml:space="preserve"> 25.677 </w:t>
            </w:r>
          </w:p>
        </w:tc>
      </w:tr>
      <w:tr w:rsidR="00895DCC" w:rsidRPr="00FD5AE7" w14:paraId="5BD17B55" w14:textId="77777777" w:rsidTr="005305FC">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20400A53" w:rsidR="00895DCC" w:rsidRPr="00FD5AE7" w:rsidRDefault="00895DCC" w:rsidP="00895DCC">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422"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425E3268"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1EE3FC31"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0133AECA"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434ABAA0"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8,0%</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346157BC"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72F93640"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58E4B949"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28DFA9DD"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0,9%</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1A9995F3"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-0,3%</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36D224B1"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7,8%</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5AB40BF3"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7,1%</w:t>
            </w:r>
          </w:p>
        </w:tc>
        <w:tc>
          <w:tcPr>
            <w:tcW w:w="331" w:type="pct"/>
            <w:tcBorders>
              <w:top w:val="nil"/>
              <w:left w:val="nil"/>
              <w:bottom w:val="single" w:sz="8" w:space="0" w:color="auto"/>
              <w:right w:val="single" w:sz="8" w:space="0" w:color="auto"/>
            </w:tcBorders>
            <w:shd w:val="clear" w:color="000000" w:fill="DCE6F1"/>
            <w:noWrap/>
            <w:vAlign w:val="bottom"/>
            <w:hideMark/>
          </w:tcPr>
          <w:p w14:paraId="5C62F803" w14:textId="261FF556" w:rsidR="00895DCC" w:rsidRPr="00FD5AE7" w:rsidRDefault="00895DCC" w:rsidP="00895DCC">
            <w:pPr>
              <w:jc w:val="center"/>
              <w:rPr>
                <w:rFonts w:ascii="Calibri" w:hAnsi="Calibri"/>
                <w:color w:val="000000"/>
                <w:sz w:val="10"/>
                <w:szCs w:val="10"/>
              </w:rPr>
            </w:pPr>
            <w:r>
              <w:rPr>
                <w:rFonts w:ascii="Calibri" w:hAnsi="Calibri" w:cs="Calibri"/>
                <w:color w:val="000000"/>
                <w:sz w:val="12"/>
                <w:szCs w:val="12"/>
              </w:rPr>
              <w:t>-4,2%</w:t>
            </w:r>
          </w:p>
        </w:tc>
      </w:tr>
      <w:tr w:rsidR="00FB3D8B" w:rsidRPr="00FD5AE7" w14:paraId="6A69D0E0" w14:textId="77777777" w:rsidTr="005305FC">
        <w:trPr>
          <w:trHeight w:val="397"/>
        </w:trPr>
        <w:tc>
          <w:tcPr>
            <w:tcW w:w="4669"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 xml:space="preserve">Crecimiento </w:t>
            </w:r>
            <w:proofErr w:type="spellStart"/>
            <w:r w:rsidRPr="00EB4FB2">
              <w:rPr>
                <w:rFonts w:ascii="Calibri" w:hAnsi="Calibri"/>
                <w:bCs/>
                <w:color w:val="000000"/>
                <w:sz w:val="12"/>
                <w:szCs w:val="10"/>
              </w:rPr>
              <w:t>Win</w:t>
            </w:r>
            <w:proofErr w:type="spellEnd"/>
            <w:r w:rsidRPr="00EB4FB2">
              <w:rPr>
                <w:rFonts w:ascii="Calibri" w:hAnsi="Calibri"/>
                <w:bCs/>
                <w:color w:val="000000"/>
                <w:sz w:val="12"/>
                <w:szCs w:val="10"/>
              </w:rPr>
              <w:t xml:space="preserve"> Nominal (Anual)</w:t>
            </w:r>
          </w:p>
        </w:tc>
        <w:tc>
          <w:tcPr>
            <w:tcW w:w="331" w:type="pct"/>
            <w:tcBorders>
              <w:top w:val="nil"/>
              <w:left w:val="nil"/>
              <w:bottom w:val="single" w:sz="8" w:space="0" w:color="auto"/>
              <w:right w:val="single" w:sz="8" w:space="0" w:color="auto"/>
            </w:tcBorders>
            <w:shd w:val="clear" w:color="000000" w:fill="DCE6F1"/>
            <w:noWrap/>
            <w:vAlign w:val="center"/>
            <w:hideMark/>
          </w:tcPr>
          <w:p w14:paraId="44902F0D" w14:textId="523031A6" w:rsidR="00FB3D8B" w:rsidRPr="00FD5AE7" w:rsidRDefault="005305FC" w:rsidP="004843DA">
            <w:pPr>
              <w:jc w:val="center"/>
              <w:rPr>
                <w:rFonts w:ascii="Calibri" w:hAnsi="Calibri"/>
                <w:color w:val="000000"/>
                <w:sz w:val="10"/>
                <w:szCs w:val="10"/>
              </w:rPr>
            </w:pPr>
            <w:r>
              <w:rPr>
                <w:rFonts w:ascii="Calibri" w:hAnsi="Calibri"/>
                <w:color w:val="000000"/>
                <w:sz w:val="14"/>
                <w:szCs w:val="10"/>
              </w:rPr>
              <w:t>2.7%</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5305FC" w:rsidRPr="00FD5AE7" w14:paraId="2B71E579" w14:textId="77777777" w:rsidTr="005305FC">
        <w:trPr>
          <w:trHeight w:val="397"/>
        </w:trPr>
        <w:tc>
          <w:tcPr>
            <w:tcW w:w="777"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FBDEF0E" w:rsidR="005305FC" w:rsidRPr="00FD5AE7" w:rsidRDefault="005305FC" w:rsidP="005305FC">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junio 2015-mayo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6E2E792C" w:rsidR="005305FC" w:rsidRPr="00FD5AE7" w:rsidRDefault="005305FC" w:rsidP="005305FC">
            <w:pPr>
              <w:spacing w:line="240" w:lineRule="auto"/>
              <w:jc w:val="center"/>
              <w:rPr>
                <w:rFonts w:ascii="Calibri" w:hAnsi="Calibri"/>
                <w:color w:val="000000"/>
                <w:sz w:val="10"/>
                <w:szCs w:val="10"/>
              </w:rPr>
            </w:pPr>
            <w:r>
              <w:rPr>
                <w:rFonts w:ascii="Calibri" w:hAnsi="Calibri" w:cs="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706C5503"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17AEC0A6"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6B38678E"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941.970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35695000"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36B6AFD0"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679A432D"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14743DCD"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4DF54DA8"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930.609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617CC6DA"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986.864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219199E4"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983.225 </w:t>
            </w:r>
          </w:p>
        </w:tc>
        <w:tc>
          <w:tcPr>
            <w:tcW w:w="331" w:type="pct"/>
            <w:tcBorders>
              <w:top w:val="nil"/>
              <w:left w:val="nil"/>
              <w:bottom w:val="single" w:sz="8" w:space="0" w:color="auto"/>
              <w:right w:val="single" w:sz="8" w:space="0" w:color="auto"/>
            </w:tcBorders>
            <w:shd w:val="clear" w:color="000000" w:fill="DCE6F1"/>
            <w:noWrap/>
            <w:vAlign w:val="bottom"/>
            <w:hideMark/>
          </w:tcPr>
          <w:p w14:paraId="1FEB92F8" w14:textId="7064C87D"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1.031.081 </w:t>
            </w:r>
          </w:p>
        </w:tc>
      </w:tr>
      <w:tr w:rsidR="005305FC" w:rsidRPr="00FD5AE7" w14:paraId="5F4AE746" w14:textId="77777777" w:rsidTr="005305FC">
        <w:trPr>
          <w:trHeight w:val="397"/>
        </w:trPr>
        <w:tc>
          <w:tcPr>
            <w:tcW w:w="777"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05B3815" w:rsidR="005305FC" w:rsidRPr="00FD5AE7" w:rsidRDefault="005305FC" w:rsidP="005305FC">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junio 2016-mayo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7A6C71BB"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09EB4005"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25DCB79A"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7F43416D"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983.407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603C9FCD"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68D31356"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19F2B4DB"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959.347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1B2CBD61"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988.310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5F8A500E"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903.951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7C747EC0"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1.037.577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68AE2F13"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1.026.847 </w:t>
            </w:r>
          </w:p>
        </w:tc>
        <w:tc>
          <w:tcPr>
            <w:tcW w:w="331" w:type="pct"/>
            <w:tcBorders>
              <w:top w:val="nil"/>
              <w:left w:val="nil"/>
              <w:bottom w:val="single" w:sz="8" w:space="0" w:color="auto"/>
              <w:right w:val="single" w:sz="8" w:space="0" w:color="auto"/>
            </w:tcBorders>
            <w:shd w:val="clear" w:color="000000" w:fill="DCE6F1"/>
            <w:noWrap/>
            <w:vAlign w:val="bottom"/>
            <w:hideMark/>
          </w:tcPr>
          <w:p w14:paraId="7C44324E" w14:textId="2395C3F5" w:rsidR="005305FC" w:rsidRPr="00FD5AE7" w:rsidRDefault="005305FC" w:rsidP="005305FC">
            <w:pPr>
              <w:jc w:val="center"/>
              <w:rPr>
                <w:rFonts w:ascii="Calibri" w:hAnsi="Calibri"/>
                <w:color w:val="000000"/>
                <w:sz w:val="10"/>
                <w:szCs w:val="10"/>
              </w:rPr>
            </w:pPr>
            <w:r>
              <w:rPr>
                <w:rFonts w:ascii="Calibri" w:hAnsi="Calibri" w:cs="Calibri"/>
                <w:color w:val="000000"/>
                <w:sz w:val="12"/>
                <w:szCs w:val="12"/>
              </w:rPr>
              <w:t xml:space="preserve"> 964.194 </w:t>
            </w:r>
          </w:p>
        </w:tc>
      </w:tr>
      <w:tr w:rsidR="005305FC" w:rsidRPr="00FD5AE7" w14:paraId="4024F91F" w14:textId="77777777" w:rsidTr="005305FC">
        <w:trPr>
          <w:trHeight w:val="397"/>
        </w:trPr>
        <w:tc>
          <w:tcPr>
            <w:tcW w:w="777"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54556F93" w:rsidR="005305FC" w:rsidRPr="00FD5AE7" w:rsidRDefault="005305FC" w:rsidP="005305FC">
            <w:pPr>
              <w:jc w:val="left"/>
              <w:rPr>
                <w:rFonts w:ascii="Calibri" w:hAnsi="Calibri"/>
                <w:bCs/>
                <w:color w:val="000000"/>
                <w:sz w:val="10"/>
                <w:szCs w:val="10"/>
              </w:rPr>
            </w:pPr>
            <w:r>
              <w:rPr>
                <w:rFonts w:ascii="Calibri" w:hAnsi="Calibri" w:cs="Calibri"/>
                <w:b/>
                <w:bCs/>
                <w:color w:val="000000"/>
                <w:sz w:val="12"/>
                <w:szCs w:val="12"/>
              </w:rPr>
              <w:t xml:space="preserve">Crecimiento </w:t>
            </w:r>
            <w:proofErr w:type="spellStart"/>
            <w:r>
              <w:rPr>
                <w:rFonts w:ascii="Calibri" w:hAnsi="Calibri" w:cs="Calibri"/>
                <w:b/>
                <w:bCs/>
                <w:color w:val="000000"/>
                <w:sz w:val="12"/>
                <w:szCs w:val="12"/>
              </w:rPr>
              <w:t>Win</w:t>
            </w:r>
            <w:proofErr w:type="spellEnd"/>
            <w:r>
              <w:rPr>
                <w:rFonts w:ascii="Calibri" w:hAnsi="Calibri" w:cs="Calibri"/>
                <w:b/>
                <w:bCs/>
                <w:color w:val="000000"/>
                <w:sz w:val="12"/>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3EF582C8"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03662C80"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205D006C"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54DD5340"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4,4%</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3DA58989"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3CA2F90C"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4DFE05EB"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-1,9%</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2028584C"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3BCD77E4"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-2,9%</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6306400B"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5,1%</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355ED04D"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4,4%</w:t>
            </w:r>
          </w:p>
        </w:tc>
        <w:tc>
          <w:tcPr>
            <w:tcW w:w="331" w:type="pct"/>
            <w:tcBorders>
              <w:top w:val="nil"/>
              <w:left w:val="nil"/>
              <w:bottom w:val="single" w:sz="8" w:space="0" w:color="auto"/>
              <w:right w:val="single" w:sz="8" w:space="0" w:color="auto"/>
            </w:tcBorders>
            <w:shd w:val="clear" w:color="000000" w:fill="DCE6F1"/>
            <w:noWrap/>
            <w:vAlign w:val="bottom"/>
            <w:hideMark/>
          </w:tcPr>
          <w:p w14:paraId="62C524E3" w14:textId="268AD475" w:rsidR="005305FC" w:rsidRPr="000C1CF5" w:rsidRDefault="005305FC" w:rsidP="005305FC">
            <w:pPr>
              <w:jc w:val="center"/>
              <w:rPr>
                <w:rFonts w:ascii="Calibri" w:hAnsi="Calibri"/>
                <w:color w:val="000000"/>
                <w:sz w:val="16"/>
                <w:szCs w:val="10"/>
              </w:rPr>
            </w:pPr>
            <w:r>
              <w:rPr>
                <w:rFonts w:ascii="Calibri" w:hAnsi="Calibri" w:cs="Calibri"/>
                <w:color w:val="000000"/>
                <w:sz w:val="12"/>
                <w:szCs w:val="12"/>
              </w:rPr>
              <w:t>-6,5%</w:t>
            </w:r>
          </w:p>
        </w:tc>
      </w:tr>
      <w:tr w:rsidR="00FB3D8B" w:rsidRPr="00FD5AE7" w14:paraId="7E9D6992" w14:textId="77777777" w:rsidTr="005305FC">
        <w:trPr>
          <w:trHeight w:val="397"/>
        </w:trPr>
        <w:tc>
          <w:tcPr>
            <w:tcW w:w="4669"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C1CF5" w:rsidRDefault="00FB3D8B" w:rsidP="00DE53E5">
            <w:pPr>
              <w:spacing w:line="240" w:lineRule="auto"/>
              <w:jc w:val="left"/>
              <w:rPr>
                <w:rFonts w:ascii="Calibri" w:hAnsi="Calibri"/>
                <w:bCs/>
                <w:color w:val="000000"/>
                <w:sz w:val="16"/>
                <w:szCs w:val="10"/>
              </w:rPr>
            </w:pPr>
            <w:r w:rsidRPr="00EB4FB2">
              <w:rPr>
                <w:rFonts w:ascii="Calibri" w:hAnsi="Calibri"/>
                <w:bCs/>
                <w:color w:val="000000"/>
                <w:sz w:val="12"/>
                <w:szCs w:val="10"/>
              </w:rPr>
              <w:t xml:space="preserve">Crecimiento </w:t>
            </w:r>
            <w:proofErr w:type="spellStart"/>
            <w:r w:rsidRPr="00EB4FB2">
              <w:rPr>
                <w:rFonts w:ascii="Calibri" w:hAnsi="Calibri"/>
                <w:bCs/>
                <w:color w:val="000000"/>
                <w:sz w:val="12"/>
                <w:szCs w:val="10"/>
              </w:rPr>
              <w:t>Win</w:t>
            </w:r>
            <w:proofErr w:type="spellEnd"/>
            <w:r w:rsidRPr="00EB4FB2">
              <w:rPr>
                <w:rFonts w:ascii="Calibri" w:hAnsi="Calibri"/>
                <w:bCs/>
                <w:color w:val="000000"/>
                <w:sz w:val="12"/>
                <w:szCs w:val="10"/>
              </w:rPr>
              <w:t xml:space="preserve"> </w:t>
            </w:r>
            <w:r w:rsidR="00EB4FB2" w:rsidRPr="00EB4FB2">
              <w:rPr>
                <w:rFonts w:ascii="Calibri" w:hAnsi="Calibri"/>
                <w:bCs/>
                <w:color w:val="000000"/>
                <w:sz w:val="12"/>
                <w:szCs w:val="10"/>
              </w:rPr>
              <w:t>Real (Anual)</w:t>
            </w:r>
          </w:p>
        </w:tc>
        <w:tc>
          <w:tcPr>
            <w:tcW w:w="331" w:type="pct"/>
            <w:tcBorders>
              <w:top w:val="nil"/>
              <w:left w:val="nil"/>
              <w:bottom w:val="single" w:sz="8" w:space="0" w:color="auto"/>
              <w:right w:val="single" w:sz="8" w:space="0" w:color="auto"/>
            </w:tcBorders>
            <w:shd w:val="clear" w:color="000000" w:fill="DCE6F1"/>
            <w:noWrap/>
            <w:vAlign w:val="center"/>
            <w:hideMark/>
          </w:tcPr>
          <w:p w14:paraId="7AF4062A" w14:textId="2BC47A0B" w:rsidR="00FB3D8B" w:rsidRPr="000C1CF5" w:rsidRDefault="00884744" w:rsidP="00574797">
            <w:pPr>
              <w:jc w:val="center"/>
              <w:rPr>
                <w:rFonts w:ascii="Calibri" w:hAnsi="Calibri"/>
                <w:color w:val="000000"/>
                <w:sz w:val="16"/>
                <w:szCs w:val="10"/>
              </w:rPr>
            </w:pPr>
            <w:r>
              <w:rPr>
                <w:rFonts w:ascii="Calibri" w:hAnsi="Calibri"/>
                <w:color w:val="000000"/>
                <w:sz w:val="14"/>
                <w:szCs w:val="10"/>
              </w:rPr>
              <w:t>-</w:t>
            </w:r>
            <w:r w:rsidR="00060DE8" w:rsidRPr="00EB4FB2">
              <w:rPr>
                <w:rFonts w:ascii="Calibri" w:hAnsi="Calibri"/>
                <w:color w:val="000000"/>
                <w:sz w:val="14"/>
                <w:szCs w:val="10"/>
              </w:rPr>
              <w:t>0,</w:t>
            </w:r>
            <w:r w:rsidR="005305FC">
              <w:rPr>
                <w:rFonts w:ascii="Calibri" w:hAnsi="Calibri"/>
                <w:color w:val="000000"/>
                <w:sz w:val="14"/>
                <w:szCs w:val="10"/>
              </w:rPr>
              <w:t>4</w:t>
            </w:r>
            <w:r w:rsidR="00EB4FB2" w:rsidRPr="00EB4FB2">
              <w:rPr>
                <w:rFonts w:ascii="Calibri" w:hAnsi="Calibri"/>
                <w:color w:val="000000"/>
                <w:sz w:val="14"/>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proofErr w:type="gramStart"/>
      <w:r w:rsidRPr="00EC0FC2">
        <w:rPr>
          <w:sz w:val="18"/>
          <w:szCs w:val="18"/>
        </w:rPr>
        <w:t>que</w:t>
      </w:r>
      <w:proofErr w:type="gramEnd"/>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4445FCFD" w:rsidR="00FB3D8B" w:rsidRDefault="005305FC" w:rsidP="00196290">
      <w:pPr>
        <w:tabs>
          <w:tab w:val="left" w:pos="0"/>
          <w:tab w:val="left" w:pos="6285"/>
        </w:tabs>
        <w:ind w:hanging="567"/>
      </w:pPr>
      <w:r>
        <w:rPr>
          <w:noProof/>
        </w:rPr>
        <w:drawing>
          <wp:inline distT="0" distB="0" distL="0" distR="0" wp14:anchorId="5B3FE7DC" wp14:editId="39EBDFDD">
            <wp:extent cx="5810250" cy="199652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5881" cy="2001891"/>
                    </a:xfrm>
                    <a:prstGeom prst="rect">
                      <a:avLst/>
                    </a:prstGeom>
                    <a:noFill/>
                  </pic:spPr>
                </pic:pic>
              </a:graphicData>
            </a:graphic>
          </wp:inline>
        </w:drawing>
      </w:r>
    </w:p>
    <w:p w14:paraId="2B85DA27" w14:textId="77777777" w:rsidR="00AC7932" w:rsidRDefault="00AC7932" w:rsidP="00196290">
      <w:pPr>
        <w:tabs>
          <w:tab w:val="left" w:pos="0"/>
          <w:tab w:val="left" w:pos="6285"/>
        </w:tabs>
        <w:ind w:hanging="567"/>
      </w:pPr>
    </w:p>
    <w:p w14:paraId="490ED4F2" w14:textId="77777777" w:rsidR="00AC7932" w:rsidRDefault="00AC7932"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68C2B01B" w:rsidR="00FB3D8B" w:rsidRDefault="005305FC" w:rsidP="00FB3D8B">
      <w:pPr>
        <w:pStyle w:val="Prrafodelista"/>
        <w:tabs>
          <w:tab w:val="left" w:pos="0"/>
        </w:tabs>
        <w:ind w:left="0"/>
        <w:jc w:val="left"/>
      </w:pPr>
      <w:r>
        <w:rPr>
          <w:noProof/>
        </w:rPr>
        <w:drawing>
          <wp:inline distT="0" distB="0" distL="0" distR="0" wp14:anchorId="0E0190E0" wp14:editId="1324939C">
            <wp:extent cx="5679440" cy="19515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0669" cy="195886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7BF576F0" w:rsidR="00FB3D8B" w:rsidRDefault="005305FC" w:rsidP="00FB3D8B">
      <w:pPr>
        <w:pStyle w:val="Prrafodelista"/>
        <w:tabs>
          <w:tab w:val="left" w:pos="0"/>
          <w:tab w:val="left" w:pos="6285"/>
        </w:tabs>
        <w:ind w:left="0"/>
        <w:jc w:val="left"/>
        <w:rPr>
          <w:b/>
        </w:rPr>
      </w:pPr>
      <w:r>
        <w:rPr>
          <w:b/>
          <w:noProof/>
        </w:rPr>
        <w:drawing>
          <wp:inline distT="0" distB="0" distL="0" distR="0" wp14:anchorId="2444FC28" wp14:editId="0FFD304C">
            <wp:extent cx="5698490" cy="1958117"/>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0458" cy="1965666"/>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34C1DD8F" w14:textId="0C5D8374" w:rsidR="00060DE8" w:rsidRDefault="00060DE8" w:rsidP="00FB3D8B">
      <w:pPr>
        <w:pStyle w:val="Prrafodelista"/>
        <w:tabs>
          <w:tab w:val="left" w:pos="0"/>
          <w:tab w:val="left" w:pos="6285"/>
        </w:tabs>
        <w:ind w:left="0"/>
        <w:jc w:val="left"/>
        <w:rPr>
          <w:b/>
        </w:rPr>
      </w:pPr>
    </w:p>
    <w:p w14:paraId="53AA8C7D" w14:textId="60E56376"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por casino de juego, valores reales (UF): </w:t>
      </w:r>
      <w:r w:rsidR="00EA72CD">
        <w:rPr>
          <w:b/>
        </w:rPr>
        <w:t xml:space="preserve"> </w:t>
      </w:r>
      <w:r w:rsidR="005305FC">
        <w:rPr>
          <w:b/>
        </w:rPr>
        <w:t>abril</w:t>
      </w:r>
      <w:r w:rsidR="00D2557C">
        <w:rPr>
          <w:b/>
        </w:rPr>
        <w:t xml:space="preserve"> </w:t>
      </w:r>
      <w:r w:rsidRPr="00EA72CD">
        <w:rPr>
          <w:b/>
        </w:rPr>
        <w:t>-</w:t>
      </w:r>
      <w:r w:rsidR="00C742BA" w:rsidRPr="00EA72CD">
        <w:rPr>
          <w:b/>
        </w:rPr>
        <w:t xml:space="preserve"> </w:t>
      </w:r>
      <w:r w:rsidR="005305FC">
        <w:rPr>
          <w:b/>
        </w:rPr>
        <w:t>mayo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557D218A" w:rsidR="00FB3D8B" w:rsidRDefault="005305FC" w:rsidP="004843DA">
      <w:pPr>
        <w:pStyle w:val="Prrafodelista"/>
        <w:tabs>
          <w:tab w:val="left" w:pos="0"/>
          <w:tab w:val="left" w:pos="360"/>
          <w:tab w:val="left" w:pos="6285"/>
        </w:tabs>
        <w:ind w:left="0" w:hanging="567"/>
        <w:jc w:val="center"/>
        <w:rPr>
          <w:b/>
        </w:rPr>
      </w:pPr>
      <w:r>
        <w:rPr>
          <w:b/>
          <w:noProof/>
        </w:rPr>
        <w:drawing>
          <wp:inline distT="0" distB="0" distL="0" distR="0" wp14:anchorId="4A456299" wp14:editId="64B5E128">
            <wp:extent cx="5874305" cy="25450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9214" cy="2551540"/>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673DF532" w14:textId="77777777" w:rsidR="004843DA" w:rsidRDefault="004843DA" w:rsidP="00FB3D8B">
      <w:pPr>
        <w:pStyle w:val="Prrafodelista"/>
        <w:tabs>
          <w:tab w:val="left" w:pos="0"/>
          <w:tab w:val="left" w:pos="360"/>
          <w:tab w:val="left" w:pos="6285"/>
        </w:tabs>
        <w:ind w:left="0"/>
        <w:jc w:val="left"/>
        <w:rPr>
          <w:b/>
        </w:rPr>
      </w:pPr>
    </w:p>
    <w:p w14:paraId="09F2930D" w14:textId="77777777" w:rsidR="00FB3D8B" w:rsidRDefault="00FB3D8B" w:rsidP="00FB3D8B">
      <w:pPr>
        <w:pStyle w:val="Prrafodelista"/>
        <w:tabs>
          <w:tab w:val="left" w:pos="0"/>
          <w:tab w:val="left" w:pos="360"/>
          <w:tab w:val="left" w:pos="6285"/>
        </w:tabs>
        <w:ind w:left="0"/>
        <w:jc w:val="left"/>
        <w:rPr>
          <w:b/>
        </w:rPr>
      </w:pPr>
    </w:p>
    <w:p w14:paraId="3A001A03" w14:textId="5E68D188"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5305FC">
        <w:rPr>
          <w:b/>
        </w:rPr>
        <w:t>mayo</w:t>
      </w:r>
      <w:r>
        <w:rPr>
          <w:b/>
        </w:rPr>
        <w:t xml:space="preserve"> de 201</w:t>
      </w:r>
      <w:r w:rsidR="00C742BA">
        <w:rPr>
          <w:b/>
        </w:rPr>
        <w:t>7</w:t>
      </w:r>
      <w:r>
        <w:rPr>
          <w:b/>
        </w:rPr>
        <w:t>, valores nominales ($)</w:t>
      </w:r>
    </w:p>
    <w:p w14:paraId="30F2B916" w14:textId="6A3EADE9" w:rsidR="00FB3D8B" w:rsidRDefault="005305FC" w:rsidP="00FB3D8B">
      <w:pPr>
        <w:tabs>
          <w:tab w:val="left" w:pos="0"/>
          <w:tab w:val="left" w:pos="6285"/>
        </w:tabs>
        <w:jc w:val="center"/>
        <w:rPr>
          <w:szCs w:val="21"/>
        </w:rPr>
      </w:pPr>
      <w:r>
        <w:rPr>
          <w:noProof/>
          <w:szCs w:val="21"/>
        </w:rPr>
        <w:drawing>
          <wp:inline distT="0" distB="0" distL="0" distR="0" wp14:anchorId="3F4BD229" wp14:editId="443B92D1">
            <wp:extent cx="4853305" cy="3539063"/>
            <wp:effectExtent l="0" t="0" r="444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3686" cy="3539341"/>
                    </a:xfrm>
                    <a:prstGeom prst="rect">
                      <a:avLst/>
                    </a:prstGeom>
                    <a:noFill/>
                  </pic:spPr>
                </pic:pic>
              </a:graphicData>
            </a:graphic>
          </wp:inline>
        </w:drawing>
      </w:r>
    </w:p>
    <w:p w14:paraId="7B7FE844" w14:textId="5D1BCDF1" w:rsidR="00FB3D8B" w:rsidRPr="00E660DE" w:rsidRDefault="00FB3D8B" w:rsidP="00404B42">
      <w:pPr>
        <w:pStyle w:val="Prrafodelista"/>
        <w:numPr>
          <w:ilvl w:val="0"/>
          <w:numId w:val="1"/>
        </w:numPr>
        <w:tabs>
          <w:tab w:val="left" w:pos="0"/>
          <w:tab w:val="left" w:pos="6285"/>
        </w:tabs>
        <w:ind w:left="0"/>
        <w:jc w:val="center"/>
        <w:rPr>
          <w:szCs w:val="21"/>
        </w:rPr>
      </w:pPr>
      <w:r w:rsidRPr="00E660DE">
        <w:rPr>
          <w:b/>
        </w:rPr>
        <w:t xml:space="preserve">Monto total apostado máquinas de azar, valores nominales ($): </w:t>
      </w:r>
      <w:r w:rsidR="005305FC" w:rsidRPr="00E660DE">
        <w:rPr>
          <w:b/>
        </w:rPr>
        <w:t>mayo</w:t>
      </w:r>
      <w:r w:rsidR="000D553D" w:rsidRPr="00E660DE">
        <w:rPr>
          <w:b/>
        </w:rPr>
        <w:t xml:space="preserve"> de 2017</w:t>
      </w:r>
      <w:r w:rsidR="005305FC">
        <w:rPr>
          <w:noProof/>
          <w:szCs w:val="21"/>
        </w:rPr>
        <w:drawing>
          <wp:inline distT="0" distB="0" distL="0" distR="0" wp14:anchorId="0B6E90BB" wp14:editId="7E19B029">
            <wp:extent cx="2861392" cy="345277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107" cy="3454843"/>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1A428510"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5305FC">
        <w:rPr>
          <w:b/>
        </w:rPr>
        <w:t>mayo</w:t>
      </w:r>
      <w:r w:rsidRPr="00EA72CD">
        <w:rPr>
          <w:b/>
        </w:rPr>
        <w:t xml:space="preserve"> de 201</w:t>
      </w:r>
      <w:r w:rsidR="00C742BA" w:rsidRPr="00EA72CD">
        <w:rPr>
          <w:b/>
        </w:rPr>
        <w:t>7</w:t>
      </w:r>
    </w:p>
    <w:tbl>
      <w:tblPr>
        <w:tblW w:w="0" w:type="auto"/>
        <w:tblInd w:w="-5" w:type="dxa"/>
        <w:tblCellMar>
          <w:top w:w="15" w:type="dxa"/>
          <w:left w:w="70" w:type="dxa"/>
          <w:bottom w:w="15" w:type="dxa"/>
          <w:right w:w="70" w:type="dxa"/>
        </w:tblCellMar>
        <w:tblLook w:val="04A0" w:firstRow="1" w:lastRow="0" w:firstColumn="1" w:lastColumn="0" w:noHBand="0" w:noVBand="1"/>
      </w:tblPr>
      <w:tblGrid>
        <w:gridCol w:w="3021"/>
        <w:gridCol w:w="1929"/>
        <w:gridCol w:w="1575"/>
        <w:gridCol w:w="1979"/>
      </w:tblGrid>
      <w:tr w:rsidR="005305FC" w:rsidRPr="005305FC" w14:paraId="7969BA3E" w14:textId="77777777" w:rsidTr="005305FC">
        <w:trPr>
          <w:trHeight w:val="555"/>
        </w:trPr>
        <w:tc>
          <w:tcPr>
            <w:tcW w:w="0" w:type="auto"/>
            <w:gridSpan w:val="4"/>
            <w:tcBorders>
              <w:top w:val="single" w:sz="4" w:space="0" w:color="808080"/>
              <w:left w:val="single" w:sz="4" w:space="0" w:color="808080"/>
              <w:bottom w:val="single" w:sz="4" w:space="0" w:color="808080"/>
              <w:right w:val="nil"/>
            </w:tcBorders>
            <w:shd w:val="clear" w:color="000000" w:fill="1F497D"/>
            <w:vAlign w:val="bottom"/>
            <w:hideMark/>
          </w:tcPr>
          <w:p w14:paraId="401B7BD0" w14:textId="4EFFBA70"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MÁQUINAS DE AZAR: Montos Apostados y Premios Ganados ($ </w:t>
            </w:r>
            <w:proofErr w:type="gramStart"/>
            <w:r w:rsidR="00C547FE" w:rsidRPr="005305FC">
              <w:rPr>
                <w:rFonts w:ascii="Calibri" w:eastAsia="Times New Roman" w:hAnsi="Calibri" w:cs="Calibri"/>
                <w:b/>
                <w:bCs/>
                <w:color w:val="FFFFFF"/>
                <w:sz w:val="18"/>
                <w:szCs w:val="18"/>
                <w:lang w:eastAsia="es-CL"/>
              </w:rPr>
              <w:t xml:space="preserve">Millones)  </w:t>
            </w:r>
            <w:r w:rsidRPr="005305FC">
              <w:rPr>
                <w:rFonts w:ascii="Calibri" w:eastAsia="Times New Roman" w:hAnsi="Calibri" w:cs="Calibri"/>
                <w:b/>
                <w:bCs/>
                <w:color w:val="FFFFFF"/>
                <w:sz w:val="18"/>
                <w:szCs w:val="18"/>
                <w:lang w:eastAsia="es-CL"/>
              </w:rPr>
              <w:t xml:space="preserve"> </w:t>
            </w:r>
            <w:proofErr w:type="gramEnd"/>
            <w:r w:rsidRPr="005305FC">
              <w:rPr>
                <w:rFonts w:ascii="Calibri" w:eastAsia="Times New Roman" w:hAnsi="Calibri" w:cs="Calibri"/>
                <w:b/>
                <w:bCs/>
                <w:color w:val="FFFFFF"/>
                <w:sz w:val="18"/>
                <w:szCs w:val="18"/>
                <w:lang w:eastAsia="es-CL"/>
              </w:rPr>
              <w:t xml:space="preserve">                                                                                                 Mayo 2017 ($ Millones)</w:t>
            </w:r>
          </w:p>
        </w:tc>
      </w:tr>
      <w:tr w:rsidR="005305FC" w:rsidRPr="005305FC" w14:paraId="38DDFF10" w14:textId="77777777" w:rsidTr="005305FC">
        <w:trPr>
          <w:trHeight w:val="765"/>
        </w:trPr>
        <w:tc>
          <w:tcPr>
            <w:tcW w:w="0" w:type="auto"/>
            <w:tcBorders>
              <w:top w:val="single" w:sz="4" w:space="0" w:color="808080"/>
              <w:left w:val="single" w:sz="4" w:space="0" w:color="808080"/>
              <w:bottom w:val="nil"/>
              <w:right w:val="single" w:sz="4" w:space="0" w:color="808080"/>
            </w:tcBorders>
            <w:shd w:val="clear" w:color="000000" w:fill="1F497D"/>
            <w:noWrap/>
            <w:vAlign w:val="center"/>
            <w:hideMark/>
          </w:tcPr>
          <w:p w14:paraId="681ADB00"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Casino de Juego </w:t>
            </w:r>
          </w:p>
        </w:tc>
        <w:tc>
          <w:tcPr>
            <w:tcW w:w="0" w:type="auto"/>
            <w:tcBorders>
              <w:top w:val="single" w:sz="4" w:space="0" w:color="808080"/>
              <w:left w:val="single" w:sz="4" w:space="0" w:color="808080"/>
              <w:bottom w:val="nil"/>
              <w:right w:val="single" w:sz="4" w:space="0" w:color="808080"/>
            </w:tcBorders>
            <w:shd w:val="clear" w:color="000000" w:fill="1F497D"/>
            <w:vAlign w:val="center"/>
            <w:hideMark/>
          </w:tcPr>
          <w:p w14:paraId="69508037"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Monto total apostado</w:t>
            </w:r>
          </w:p>
        </w:tc>
        <w:tc>
          <w:tcPr>
            <w:tcW w:w="0" w:type="auto"/>
            <w:tcBorders>
              <w:top w:val="single" w:sz="4" w:space="0" w:color="808080"/>
              <w:left w:val="single" w:sz="4" w:space="0" w:color="808080"/>
              <w:bottom w:val="nil"/>
              <w:right w:val="single" w:sz="4" w:space="0" w:color="808080"/>
            </w:tcBorders>
            <w:shd w:val="clear" w:color="000000" w:fill="1F497D"/>
            <w:vAlign w:val="center"/>
            <w:hideMark/>
          </w:tcPr>
          <w:p w14:paraId="5053A96D"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Premios ganados</w:t>
            </w:r>
          </w:p>
        </w:tc>
        <w:tc>
          <w:tcPr>
            <w:tcW w:w="0" w:type="auto"/>
            <w:tcBorders>
              <w:top w:val="single" w:sz="4" w:space="0" w:color="808080"/>
              <w:left w:val="single" w:sz="4" w:space="0" w:color="808080"/>
              <w:bottom w:val="nil"/>
              <w:right w:val="single" w:sz="4" w:space="0" w:color="808080"/>
            </w:tcBorders>
            <w:shd w:val="clear" w:color="000000" w:fill="1F497D"/>
            <w:vAlign w:val="center"/>
            <w:hideMark/>
          </w:tcPr>
          <w:p w14:paraId="3497A692"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Porcentaje de retorno </w:t>
            </w:r>
          </w:p>
        </w:tc>
      </w:tr>
      <w:tr w:rsidR="005305FC" w:rsidRPr="005305FC" w14:paraId="2F0C0C6F"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78EE25A"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Marina del Sol Calama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F8E72DB"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13.666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6D9256F"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12.758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37DE021"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93,4%</w:t>
            </w:r>
          </w:p>
        </w:tc>
      </w:tr>
      <w:tr w:rsidR="005305FC" w:rsidRPr="005305FC" w14:paraId="57158A67"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C45CBDF" w14:textId="77777777" w:rsidR="005305FC" w:rsidRPr="005305FC" w:rsidRDefault="005305FC" w:rsidP="005305FC">
            <w:pPr>
              <w:spacing w:after="0" w:line="240" w:lineRule="auto"/>
              <w:jc w:val="left"/>
              <w:rPr>
                <w:rFonts w:ascii="Calibri" w:eastAsia="Times New Roman" w:hAnsi="Calibri" w:cs="Calibri"/>
                <w:b/>
                <w:bCs/>
                <w:sz w:val="18"/>
                <w:szCs w:val="18"/>
                <w:lang w:eastAsia="es-CL"/>
              </w:rPr>
            </w:pPr>
            <w:proofErr w:type="spellStart"/>
            <w:r w:rsidRPr="005305FC">
              <w:rPr>
                <w:rFonts w:ascii="Calibri" w:eastAsia="Times New Roman" w:hAnsi="Calibri" w:cs="Calibri"/>
                <w:b/>
                <w:bCs/>
                <w:sz w:val="18"/>
                <w:szCs w:val="18"/>
                <w:lang w:eastAsia="es-CL"/>
              </w:rPr>
              <w:t>Enjoy</w:t>
            </w:r>
            <w:proofErr w:type="spellEnd"/>
            <w:r w:rsidRPr="005305FC">
              <w:rPr>
                <w:rFonts w:ascii="Calibri" w:eastAsia="Times New Roman" w:hAnsi="Calibri" w:cs="Calibri"/>
                <w:b/>
                <w:bCs/>
                <w:sz w:val="18"/>
                <w:szCs w:val="18"/>
                <w:lang w:eastAsia="es-CL"/>
              </w:rPr>
              <w:t xml:space="preserve"> Antofagasta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CAB2A24"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29.714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D7C71EE"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27.775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A2BA2E8"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93,5%</w:t>
            </w:r>
          </w:p>
        </w:tc>
      </w:tr>
      <w:tr w:rsidR="005305FC" w:rsidRPr="005305FC" w14:paraId="34431CC4"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06B6F60"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proofErr w:type="spellStart"/>
            <w:r w:rsidRPr="005305FC">
              <w:rPr>
                <w:rFonts w:ascii="Calibri" w:eastAsia="Times New Roman" w:hAnsi="Calibri" w:cs="Calibri"/>
                <w:b/>
                <w:bCs/>
                <w:color w:val="000000"/>
                <w:sz w:val="18"/>
                <w:szCs w:val="18"/>
                <w:lang w:eastAsia="es-CL"/>
              </w:rPr>
              <w:t>Antay</w:t>
            </w:r>
            <w:proofErr w:type="spellEnd"/>
            <w:r w:rsidRPr="005305FC">
              <w:rPr>
                <w:rFonts w:ascii="Calibri" w:eastAsia="Times New Roman" w:hAnsi="Calibri" w:cs="Calibri"/>
                <w:b/>
                <w:bCs/>
                <w:color w:val="000000"/>
                <w:sz w:val="18"/>
                <w:szCs w:val="18"/>
                <w:lang w:eastAsia="es-CL"/>
              </w:rPr>
              <w:t xml:space="preserve"> Casino &amp; Hotel</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49CAD89"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12.907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9BA3DC1"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12.046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8DFFEEA"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93,3%</w:t>
            </w:r>
          </w:p>
        </w:tc>
      </w:tr>
      <w:tr w:rsidR="005305FC" w:rsidRPr="005305FC" w14:paraId="18DF7EFA"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DB3692B"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Ovalle Casino Resort S.A.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6D6418E"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3.097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49DC17F"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2.941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31507F8"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95,0%</w:t>
            </w:r>
          </w:p>
        </w:tc>
      </w:tr>
      <w:tr w:rsidR="005305FC" w:rsidRPr="005305FC" w14:paraId="29AA0111"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116F40B"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Casino de Juegos del Pacífico</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89D1ED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8.269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EB40314"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7.709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AE6F74D"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93,2%</w:t>
            </w:r>
          </w:p>
        </w:tc>
      </w:tr>
      <w:tr w:rsidR="005305FC" w:rsidRPr="005305FC" w14:paraId="594579B5"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9F7B693"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Casino Rinconada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F241798"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40.779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6A9F52B"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38.352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12F2906"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94,0%</w:t>
            </w:r>
          </w:p>
        </w:tc>
      </w:tr>
      <w:tr w:rsidR="005305FC" w:rsidRPr="005305FC" w14:paraId="1F8856B7"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95B0D3D"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proofErr w:type="spellStart"/>
            <w:r w:rsidRPr="005305FC">
              <w:rPr>
                <w:rFonts w:ascii="Calibri" w:eastAsia="Times New Roman" w:hAnsi="Calibri" w:cs="Calibri"/>
                <w:b/>
                <w:bCs/>
                <w:color w:val="000000"/>
                <w:sz w:val="18"/>
                <w:szCs w:val="18"/>
                <w:lang w:eastAsia="es-CL"/>
              </w:rPr>
              <w:t>Sun</w:t>
            </w:r>
            <w:proofErr w:type="spellEnd"/>
            <w:r w:rsidRPr="005305FC">
              <w:rPr>
                <w:rFonts w:ascii="Calibri" w:eastAsia="Times New Roman" w:hAnsi="Calibri" w:cs="Calibri"/>
                <w:b/>
                <w:bCs/>
                <w:color w:val="000000"/>
                <w:sz w:val="18"/>
                <w:szCs w:val="18"/>
                <w:lang w:eastAsia="es-CL"/>
              </w:rPr>
              <w:t xml:space="preserve"> Monticello</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517BA0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88.364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A47478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83.524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B8EC78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94,5%</w:t>
            </w:r>
          </w:p>
        </w:tc>
      </w:tr>
      <w:tr w:rsidR="005305FC" w:rsidRPr="005305FC" w14:paraId="21E0CECE"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C735C75"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Casino de Colchagua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0AED444"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6.345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E11ED6C"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5.876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0CE3555"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92,6%</w:t>
            </w:r>
          </w:p>
        </w:tc>
      </w:tr>
      <w:tr w:rsidR="005305FC" w:rsidRPr="005305FC" w14:paraId="0875B07C"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6A6EE8"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Gran Casino de Talca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62D8B5B"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13.953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C47EA11"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13.018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DEB5702"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93,3%</w:t>
            </w:r>
          </w:p>
        </w:tc>
      </w:tr>
      <w:tr w:rsidR="005305FC" w:rsidRPr="005305FC" w14:paraId="13010D94"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60046D6"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Marina del Sol Talcahuano</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3AA45A6"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52.383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63EDD33"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49.204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4B8DCF3"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93,9%</w:t>
            </w:r>
          </w:p>
        </w:tc>
      </w:tr>
      <w:tr w:rsidR="005305FC" w:rsidRPr="005305FC" w14:paraId="47090CE9"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A729C31"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 xml:space="preserve">Casino Gran Los </w:t>
            </w:r>
            <w:proofErr w:type="spellStart"/>
            <w:r w:rsidRPr="005305FC">
              <w:rPr>
                <w:rFonts w:ascii="Calibri" w:eastAsia="Times New Roman" w:hAnsi="Calibri" w:cs="Calibri"/>
                <w:b/>
                <w:bCs/>
                <w:color w:val="000000"/>
                <w:sz w:val="18"/>
                <w:szCs w:val="18"/>
                <w:lang w:eastAsia="es-CL"/>
              </w:rPr>
              <w:t>Angeles</w:t>
            </w:r>
            <w:proofErr w:type="spellEnd"/>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9DECAD6"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5.260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3182EB6"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4.960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1C4D416"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94,3%</w:t>
            </w:r>
          </w:p>
        </w:tc>
      </w:tr>
      <w:tr w:rsidR="005305FC" w:rsidRPr="005305FC" w14:paraId="352AF90D"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14113F9" w14:textId="77777777" w:rsidR="005305FC" w:rsidRPr="005305FC" w:rsidRDefault="005305FC" w:rsidP="005305FC">
            <w:pPr>
              <w:spacing w:after="0" w:line="240" w:lineRule="auto"/>
              <w:jc w:val="left"/>
              <w:rPr>
                <w:rFonts w:ascii="Calibri" w:eastAsia="Times New Roman" w:hAnsi="Calibri" w:cs="Calibri"/>
                <w:b/>
                <w:bCs/>
                <w:sz w:val="18"/>
                <w:szCs w:val="18"/>
                <w:lang w:eastAsia="es-CL"/>
              </w:rPr>
            </w:pPr>
            <w:r w:rsidRPr="005305FC">
              <w:rPr>
                <w:rFonts w:ascii="Calibri" w:eastAsia="Times New Roman" w:hAnsi="Calibri" w:cs="Calibri"/>
                <w:b/>
                <w:bCs/>
                <w:sz w:val="18"/>
                <w:szCs w:val="18"/>
                <w:lang w:eastAsia="es-CL"/>
              </w:rPr>
              <w:t>Dreams Temuco</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8A7FC5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30.669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F87867E"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28.820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D3F6C4F"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94,0%</w:t>
            </w:r>
          </w:p>
        </w:tc>
      </w:tr>
      <w:tr w:rsidR="005305FC" w:rsidRPr="005305FC" w14:paraId="33919CE1"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CA1465B"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Dreams Valdivia</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214FAB5"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16.651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9E2CFF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15.699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D501063"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94,3%</w:t>
            </w:r>
          </w:p>
        </w:tc>
      </w:tr>
      <w:tr w:rsidR="005305FC" w:rsidRPr="005305FC" w14:paraId="3F19A1B7"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43C2167"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Marina del Sol Osorno</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1DA591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11.127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097A356"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10.407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46202FF"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93,5%</w:t>
            </w:r>
          </w:p>
        </w:tc>
      </w:tr>
      <w:tr w:rsidR="005305FC" w:rsidRPr="005305FC" w14:paraId="788BD2D8"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55DC258"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proofErr w:type="spellStart"/>
            <w:r w:rsidRPr="005305FC">
              <w:rPr>
                <w:rFonts w:ascii="Calibri" w:eastAsia="Times New Roman" w:hAnsi="Calibri" w:cs="Calibri"/>
                <w:b/>
                <w:bCs/>
                <w:color w:val="000000"/>
                <w:sz w:val="18"/>
                <w:szCs w:val="18"/>
                <w:lang w:eastAsia="es-CL"/>
              </w:rPr>
              <w:t>Enjoy</w:t>
            </w:r>
            <w:proofErr w:type="spellEnd"/>
            <w:r w:rsidRPr="005305FC">
              <w:rPr>
                <w:rFonts w:ascii="Calibri" w:eastAsia="Times New Roman" w:hAnsi="Calibri" w:cs="Calibri"/>
                <w:b/>
                <w:bCs/>
                <w:color w:val="000000"/>
                <w:sz w:val="18"/>
                <w:szCs w:val="18"/>
                <w:lang w:eastAsia="es-CL"/>
              </w:rPr>
              <w:t xml:space="preserve"> Chiloé</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8F59425"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3.335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04111AD"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3.078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B50099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92,3%</w:t>
            </w:r>
          </w:p>
        </w:tc>
      </w:tr>
      <w:tr w:rsidR="005305FC" w:rsidRPr="005305FC" w14:paraId="6B4A0079"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7249A49"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Dreams Coyhaique</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23FB91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6.866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1AB6CC9"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6.427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7929EB"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93,6%</w:t>
            </w:r>
          </w:p>
        </w:tc>
      </w:tr>
      <w:tr w:rsidR="005305FC" w:rsidRPr="005305FC" w14:paraId="52646B33" w14:textId="77777777" w:rsidTr="005305FC">
        <w:trPr>
          <w:trHeight w:val="300"/>
        </w:trPr>
        <w:tc>
          <w:tcPr>
            <w:tcW w:w="0" w:type="auto"/>
            <w:tcBorders>
              <w:top w:val="nil"/>
              <w:left w:val="nil"/>
              <w:bottom w:val="nil"/>
              <w:right w:val="nil"/>
            </w:tcBorders>
            <w:shd w:val="clear" w:color="000000" w:fill="FFFFFF"/>
            <w:noWrap/>
            <w:vAlign w:val="bottom"/>
            <w:hideMark/>
          </w:tcPr>
          <w:p w14:paraId="11011593" w14:textId="77777777" w:rsidR="005305FC" w:rsidRPr="005305FC" w:rsidRDefault="005305FC" w:rsidP="005305FC">
            <w:pPr>
              <w:spacing w:after="0" w:line="240" w:lineRule="auto"/>
              <w:jc w:val="left"/>
              <w:rPr>
                <w:rFonts w:ascii="Calibri" w:eastAsia="Times New Roman" w:hAnsi="Calibri" w:cs="Calibri"/>
                <w:b/>
                <w:bCs/>
                <w:color w:val="000000"/>
                <w:sz w:val="18"/>
                <w:szCs w:val="18"/>
                <w:lang w:eastAsia="es-CL"/>
              </w:rPr>
            </w:pPr>
            <w:r w:rsidRPr="005305FC">
              <w:rPr>
                <w:rFonts w:ascii="Calibri" w:eastAsia="Times New Roman" w:hAnsi="Calibri" w:cs="Calibri"/>
                <w:b/>
                <w:bCs/>
                <w:color w:val="000000"/>
                <w:sz w:val="18"/>
                <w:szCs w:val="18"/>
                <w:lang w:eastAsia="es-CL"/>
              </w:rPr>
              <w:t>Dreams Punta Arenas</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A5665E"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20.485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55064D"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 xml:space="preserve">19.045 </w:t>
            </w:r>
          </w:p>
        </w:tc>
        <w:tc>
          <w:tcPr>
            <w:tcW w:w="0" w:type="auto"/>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5DFB660" w14:textId="77777777" w:rsidR="005305FC" w:rsidRPr="005305FC" w:rsidRDefault="005305FC" w:rsidP="005305FC">
            <w:pPr>
              <w:spacing w:after="0" w:line="240" w:lineRule="auto"/>
              <w:jc w:val="right"/>
              <w:rPr>
                <w:rFonts w:ascii="Calibri" w:eastAsia="Times New Roman" w:hAnsi="Calibri" w:cs="Calibri"/>
                <w:sz w:val="18"/>
                <w:szCs w:val="18"/>
                <w:lang w:eastAsia="es-CL"/>
              </w:rPr>
            </w:pPr>
            <w:r w:rsidRPr="005305FC">
              <w:rPr>
                <w:rFonts w:ascii="Calibri" w:eastAsia="Times New Roman" w:hAnsi="Calibri" w:cs="Calibri"/>
                <w:sz w:val="18"/>
                <w:szCs w:val="18"/>
                <w:lang w:eastAsia="es-CL"/>
              </w:rPr>
              <w:t>93,0%</w:t>
            </w:r>
          </w:p>
        </w:tc>
      </w:tr>
      <w:tr w:rsidR="005305FC" w:rsidRPr="005305FC" w14:paraId="1C6C3DBC" w14:textId="77777777" w:rsidTr="005305FC">
        <w:trPr>
          <w:trHeight w:val="300"/>
        </w:trPr>
        <w:tc>
          <w:tcPr>
            <w:tcW w:w="0" w:type="auto"/>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717153B3" w14:textId="77777777" w:rsidR="005305FC" w:rsidRPr="005305FC" w:rsidRDefault="005305FC" w:rsidP="005305FC">
            <w:pPr>
              <w:spacing w:after="0" w:line="240" w:lineRule="auto"/>
              <w:jc w:val="lef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Total</w:t>
            </w:r>
          </w:p>
        </w:tc>
        <w:tc>
          <w:tcPr>
            <w:tcW w:w="0" w:type="auto"/>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3A4E181"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363.871 </w:t>
            </w:r>
          </w:p>
        </w:tc>
        <w:tc>
          <w:tcPr>
            <w:tcW w:w="0" w:type="auto"/>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76BE5DD"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341.641 </w:t>
            </w:r>
          </w:p>
        </w:tc>
        <w:tc>
          <w:tcPr>
            <w:tcW w:w="0" w:type="auto"/>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515DF426"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081FDDCE"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5305FC">
        <w:rPr>
          <w:b/>
        </w:rPr>
        <w:t>mayo</w:t>
      </w:r>
      <w:r w:rsidR="00C742BA" w:rsidRPr="00EA72CD">
        <w:rPr>
          <w:b/>
        </w:rPr>
        <w:t xml:space="preserve"> de</w:t>
      </w:r>
      <w:r w:rsidRPr="00EA72CD">
        <w:rPr>
          <w:b/>
        </w:rPr>
        <w:t xml:space="preserve"> 201</w:t>
      </w:r>
      <w:r w:rsidR="00C742BA" w:rsidRPr="00EA72CD">
        <w:rPr>
          <w:b/>
        </w:rPr>
        <w:t>7</w:t>
      </w:r>
    </w:p>
    <w:p w14:paraId="3B28CF99" w14:textId="2D746738" w:rsidR="00FB3D8B" w:rsidRDefault="005305FC"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568CF804" wp14:editId="0021828E">
            <wp:extent cx="5584825" cy="181646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5942" cy="1823332"/>
                    </a:xfrm>
                    <a:prstGeom prst="rect">
                      <a:avLst/>
                    </a:prstGeom>
                    <a:noFill/>
                  </pic:spPr>
                </pic:pic>
              </a:graphicData>
            </a:graphic>
          </wp:inline>
        </w:drawing>
      </w:r>
    </w:p>
    <w:p w14:paraId="65A88EA8" w14:textId="0E75AF88" w:rsidR="00E660DE" w:rsidRDefault="00E660DE" w:rsidP="00196290">
      <w:pPr>
        <w:tabs>
          <w:tab w:val="left" w:pos="0"/>
          <w:tab w:val="left" w:pos="6285"/>
        </w:tabs>
        <w:ind w:hanging="284"/>
        <w:rPr>
          <w:rFonts w:ascii="Calibri" w:hAnsi="Calibri" w:cs="Calibri"/>
          <w:b/>
          <w:sz w:val="21"/>
          <w:szCs w:val="21"/>
        </w:rPr>
      </w:pPr>
    </w:p>
    <w:p w14:paraId="53DBA87B" w14:textId="2CDB59BE" w:rsidR="00E660DE" w:rsidRDefault="00E660DE" w:rsidP="00196290">
      <w:pPr>
        <w:tabs>
          <w:tab w:val="left" w:pos="0"/>
          <w:tab w:val="left" w:pos="6285"/>
        </w:tabs>
        <w:ind w:hanging="284"/>
        <w:rPr>
          <w:rFonts w:ascii="Calibri" w:hAnsi="Calibri" w:cs="Calibri"/>
          <w:b/>
          <w:sz w:val="21"/>
          <w:szCs w:val="21"/>
        </w:rPr>
      </w:pPr>
    </w:p>
    <w:p w14:paraId="760E8671" w14:textId="264894A3" w:rsidR="00E660DE" w:rsidRDefault="00E660DE" w:rsidP="00196290">
      <w:pPr>
        <w:tabs>
          <w:tab w:val="left" w:pos="0"/>
          <w:tab w:val="left" w:pos="6285"/>
        </w:tabs>
        <w:ind w:hanging="284"/>
        <w:rPr>
          <w:rFonts w:ascii="Calibri" w:hAnsi="Calibri" w:cs="Calibri"/>
          <w:b/>
          <w:sz w:val="21"/>
          <w:szCs w:val="21"/>
        </w:rPr>
      </w:pPr>
    </w:p>
    <w:p w14:paraId="497B0728" w14:textId="77777777" w:rsidR="00E660DE" w:rsidRDefault="00E660DE" w:rsidP="00196290">
      <w:pPr>
        <w:tabs>
          <w:tab w:val="left" w:pos="0"/>
          <w:tab w:val="left" w:pos="6285"/>
        </w:tabs>
        <w:ind w:hanging="284"/>
        <w:rPr>
          <w:rFonts w:ascii="Calibri" w:hAnsi="Calibri" w:cs="Calibri"/>
          <w:b/>
          <w:sz w:val="21"/>
          <w:szCs w:val="21"/>
        </w:rPr>
      </w:pPr>
    </w:p>
    <w:p w14:paraId="7CFD9A6A" w14:textId="23F85144" w:rsidR="00FB3D8B" w:rsidRPr="003D15B6" w:rsidRDefault="00FB3D8B" w:rsidP="00EA72CD">
      <w:pPr>
        <w:pStyle w:val="Prrafodelista"/>
        <w:numPr>
          <w:ilvl w:val="0"/>
          <w:numId w:val="1"/>
        </w:numPr>
        <w:tabs>
          <w:tab w:val="left" w:pos="0"/>
        </w:tabs>
        <w:ind w:left="0"/>
        <w:rPr>
          <w:b/>
        </w:rPr>
      </w:pPr>
      <w:r w:rsidRPr="003D15B6">
        <w:rPr>
          <w:b/>
        </w:rPr>
        <w:lastRenderedPageBreak/>
        <w:t xml:space="preserve">Impuestos, valores nominales: </w:t>
      </w:r>
      <w:r w:rsidR="005305FC">
        <w:rPr>
          <w:b/>
        </w:rPr>
        <w:t>mayo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0" w:type="auto"/>
        <w:tblCellMar>
          <w:top w:w="15" w:type="dxa"/>
          <w:left w:w="70" w:type="dxa"/>
          <w:bottom w:w="15" w:type="dxa"/>
          <w:right w:w="70" w:type="dxa"/>
        </w:tblCellMar>
        <w:tblLook w:val="04A0" w:firstRow="1" w:lastRow="0" w:firstColumn="1" w:lastColumn="0" w:noHBand="0" w:noVBand="1"/>
      </w:tblPr>
      <w:tblGrid>
        <w:gridCol w:w="1316"/>
        <w:gridCol w:w="2342"/>
        <w:gridCol w:w="1250"/>
        <w:gridCol w:w="1464"/>
        <w:gridCol w:w="553"/>
        <w:gridCol w:w="1026"/>
        <w:gridCol w:w="553"/>
      </w:tblGrid>
      <w:tr w:rsidR="005305FC" w:rsidRPr="005305FC" w14:paraId="2A705976" w14:textId="77777777" w:rsidTr="005305FC">
        <w:trPr>
          <w:trHeight w:val="300"/>
        </w:trPr>
        <w:tc>
          <w:tcPr>
            <w:tcW w:w="0" w:type="auto"/>
            <w:gridSpan w:val="7"/>
            <w:tcBorders>
              <w:top w:val="nil"/>
              <w:left w:val="nil"/>
              <w:bottom w:val="nil"/>
              <w:right w:val="nil"/>
            </w:tcBorders>
            <w:shd w:val="clear" w:color="000000" w:fill="1F497D"/>
            <w:noWrap/>
            <w:vAlign w:val="center"/>
            <w:hideMark/>
          </w:tcPr>
          <w:p w14:paraId="39F295FA"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proofErr w:type="gramStart"/>
            <w:r w:rsidRPr="005305FC">
              <w:rPr>
                <w:rFonts w:ascii="Calibri" w:eastAsia="Times New Roman" w:hAnsi="Calibri" w:cs="Calibri"/>
                <w:b/>
                <w:bCs/>
                <w:color w:val="FFFFFF"/>
                <w:sz w:val="18"/>
                <w:szCs w:val="18"/>
                <w:lang w:eastAsia="es-CL"/>
              </w:rPr>
              <w:t>IMPUESTOS  Mayo</w:t>
            </w:r>
            <w:proofErr w:type="gramEnd"/>
            <w:r w:rsidRPr="005305FC">
              <w:rPr>
                <w:rFonts w:ascii="Calibri" w:eastAsia="Times New Roman" w:hAnsi="Calibri" w:cs="Calibri"/>
                <w:b/>
                <w:bCs/>
                <w:color w:val="FFFFFF"/>
                <w:sz w:val="18"/>
                <w:szCs w:val="18"/>
                <w:lang w:eastAsia="es-CL"/>
              </w:rPr>
              <w:t xml:space="preserve"> 2017 ($ Millones)</w:t>
            </w:r>
          </w:p>
        </w:tc>
      </w:tr>
      <w:tr w:rsidR="005305FC" w:rsidRPr="005305FC" w14:paraId="3C33E703" w14:textId="77777777" w:rsidTr="005305FC">
        <w:trPr>
          <w:trHeight w:val="480"/>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3324BBD7"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Región</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346F4E2"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Casino</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742D4A68"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88C5C7D"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BC4DFAF"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IVA</w:t>
            </w:r>
          </w:p>
        </w:tc>
        <w:tc>
          <w:tcPr>
            <w:tcW w:w="0" w:type="auto"/>
            <w:tcBorders>
              <w:top w:val="single" w:sz="4" w:space="0" w:color="A6A6A6"/>
              <w:left w:val="single" w:sz="4" w:space="0" w:color="A6A6A6"/>
              <w:bottom w:val="single" w:sz="4" w:space="0" w:color="A6A6A6"/>
              <w:right w:val="nil"/>
            </w:tcBorders>
            <w:shd w:val="clear" w:color="000000" w:fill="1F497D"/>
            <w:noWrap/>
            <w:vAlign w:val="center"/>
            <w:hideMark/>
          </w:tcPr>
          <w:p w14:paraId="1AC5FFDD"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8F5791C"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Total</w:t>
            </w:r>
          </w:p>
        </w:tc>
      </w:tr>
      <w:tr w:rsidR="005305FC" w:rsidRPr="005305FC" w14:paraId="5CB97377" w14:textId="77777777" w:rsidTr="005305FC">
        <w:trPr>
          <w:trHeight w:val="300"/>
        </w:trPr>
        <w:tc>
          <w:tcPr>
            <w:tcW w:w="0" w:type="auto"/>
            <w:vMerge w:val="restart"/>
            <w:tcBorders>
              <w:top w:val="single" w:sz="4" w:space="0" w:color="A6A6A6"/>
              <w:left w:val="single" w:sz="4" w:space="0" w:color="A6A6A6"/>
              <w:bottom w:val="single" w:sz="4" w:space="0" w:color="A6A6A6"/>
              <w:right w:val="single" w:sz="4" w:space="0" w:color="A6A6A6"/>
            </w:tcBorders>
            <w:noWrap/>
            <w:vAlign w:val="center"/>
            <w:hideMark/>
          </w:tcPr>
          <w:p w14:paraId="2E322EA4"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 xml:space="preserve">De Antofagasta </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634072B"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Marina de Sol Calama</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2503E24D" w14:textId="566A5800"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266</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10D6A1C" w14:textId="2819FBE5"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86</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AAC6840" w14:textId="6B08796C"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171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3281BF1" w14:textId="57F3595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54</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14C4CB57" w14:textId="1606D85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1.274</w:t>
            </w:r>
          </w:p>
        </w:tc>
      </w:tr>
      <w:tr w:rsidR="005305FC" w:rsidRPr="005305FC" w14:paraId="6A3BB4C5" w14:textId="77777777" w:rsidTr="005305FC">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518F722C"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71BE8F1"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roofErr w:type="spellStart"/>
            <w:r w:rsidRPr="005305FC">
              <w:rPr>
                <w:rFonts w:ascii="Calibri" w:eastAsia="Times New Roman" w:hAnsi="Calibri" w:cs="Calibri"/>
                <w:color w:val="244062"/>
                <w:sz w:val="18"/>
                <w:szCs w:val="18"/>
                <w:lang w:eastAsia="es-CL"/>
              </w:rPr>
              <w:t>Enjoy</w:t>
            </w:r>
            <w:proofErr w:type="spellEnd"/>
            <w:r w:rsidRPr="005305FC">
              <w:rPr>
                <w:rFonts w:ascii="Calibri" w:eastAsia="Times New Roman" w:hAnsi="Calibri" w:cs="Calibri"/>
                <w:color w:val="244062"/>
                <w:sz w:val="18"/>
                <w:szCs w:val="18"/>
                <w:lang w:eastAsia="es-CL"/>
              </w:rPr>
              <w:t xml:space="preserve"> Antofagasta</w:t>
            </w:r>
          </w:p>
        </w:tc>
        <w:tc>
          <w:tcPr>
            <w:tcW w:w="0" w:type="auto"/>
            <w:vMerge/>
            <w:tcBorders>
              <w:top w:val="single" w:sz="4" w:space="0" w:color="A6A6A6"/>
              <w:left w:val="single" w:sz="4" w:space="0" w:color="A6A6A6"/>
              <w:bottom w:val="nil"/>
              <w:right w:val="single" w:sz="4" w:space="0" w:color="A6A6A6"/>
            </w:tcBorders>
            <w:vAlign w:val="center"/>
            <w:hideMark/>
          </w:tcPr>
          <w:p w14:paraId="54C408B1"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F8E4F67" w14:textId="697D031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180</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1893235" w14:textId="6725384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364</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757E49C" w14:textId="2E003732"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152</w:t>
            </w:r>
          </w:p>
        </w:tc>
        <w:tc>
          <w:tcPr>
            <w:tcW w:w="0" w:type="auto"/>
            <w:vMerge/>
            <w:tcBorders>
              <w:top w:val="single" w:sz="4" w:space="0" w:color="A6A6A6"/>
              <w:left w:val="single" w:sz="4" w:space="0" w:color="A6A6A6"/>
              <w:bottom w:val="nil"/>
              <w:right w:val="single" w:sz="4" w:space="0" w:color="A6A6A6"/>
            </w:tcBorders>
            <w:vAlign w:val="center"/>
            <w:hideMark/>
          </w:tcPr>
          <w:p w14:paraId="61EA07D7"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r>
      <w:tr w:rsidR="005305FC" w:rsidRPr="005305FC" w14:paraId="2B7C1C55"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0F92D877"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Atacama</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F86FA1E"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roofErr w:type="spellStart"/>
            <w:r w:rsidRPr="005305FC">
              <w:rPr>
                <w:rFonts w:ascii="Calibri" w:eastAsia="Times New Roman" w:hAnsi="Calibri" w:cs="Calibri"/>
                <w:color w:val="244062"/>
                <w:sz w:val="18"/>
                <w:szCs w:val="18"/>
                <w:lang w:eastAsia="es-CL"/>
              </w:rPr>
              <w:t>Antay</w:t>
            </w:r>
            <w:proofErr w:type="spellEnd"/>
            <w:r w:rsidRPr="005305FC">
              <w:rPr>
                <w:rFonts w:ascii="Calibri" w:eastAsia="Times New Roman" w:hAnsi="Calibri" w:cs="Calibri"/>
                <w:color w:val="244062"/>
                <w:sz w:val="18"/>
                <w:szCs w:val="18"/>
                <w:lang w:eastAsia="es-CL"/>
              </w:rPr>
              <w:t xml:space="preserve"> Casino &amp; Hotel</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835FCCE" w14:textId="5B00BCBA"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79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A30559C" w14:textId="46979B6A"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79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B51154C" w14:textId="37CD684C"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159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0AAACFF" w14:textId="1A64DA50"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67</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EBB88CD" w14:textId="74853555"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384</w:t>
            </w:r>
          </w:p>
        </w:tc>
      </w:tr>
      <w:tr w:rsidR="005305FC" w:rsidRPr="005305FC" w14:paraId="17D5E5E1"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noWrap/>
            <w:vAlign w:val="center"/>
            <w:hideMark/>
          </w:tcPr>
          <w:p w14:paraId="5357A618"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Coquimbo</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48BCFEB"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Ovalle Casino Resort S.A.</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2B4451C" w14:textId="4655E37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19</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8CC1BBD" w14:textId="236ED18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19</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950EFF7" w14:textId="128E244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36</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1128318" w14:textId="41B68C48"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27</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E3BD136" w14:textId="4638307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100</w:t>
            </w:r>
          </w:p>
        </w:tc>
      </w:tr>
      <w:tr w:rsidR="005305FC" w:rsidRPr="005305FC" w14:paraId="29369B3A" w14:textId="77777777" w:rsidTr="005305FC">
        <w:trPr>
          <w:trHeight w:val="300"/>
        </w:trPr>
        <w:tc>
          <w:tcPr>
            <w:tcW w:w="0" w:type="auto"/>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03E09ED7"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Valparaíso</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B3A5720"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Casino de Juegos del Pacífico</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682D493A" w14:textId="0CE0175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269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C5F37C6" w14:textId="095F6B7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53</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BEB6A83" w14:textId="2D9943D3"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101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1621DA5" w14:textId="0077596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53</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5C183F05" w14:textId="04A9492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1.204</w:t>
            </w:r>
          </w:p>
        </w:tc>
      </w:tr>
      <w:tr w:rsidR="005305FC" w:rsidRPr="005305FC" w14:paraId="317FFB61" w14:textId="77777777" w:rsidTr="005305FC">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2EEDD5F1"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535382B"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Casino de Juego de Rinconada</w:t>
            </w:r>
          </w:p>
        </w:tc>
        <w:tc>
          <w:tcPr>
            <w:tcW w:w="0" w:type="auto"/>
            <w:vMerge/>
            <w:tcBorders>
              <w:top w:val="single" w:sz="4" w:space="0" w:color="A6A6A6"/>
              <w:left w:val="single" w:sz="4" w:space="0" w:color="A6A6A6"/>
              <w:bottom w:val="nil"/>
              <w:right w:val="single" w:sz="4" w:space="0" w:color="A6A6A6"/>
            </w:tcBorders>
            <w:vAlign w:val="center"/>
            <w:hideMark/>
          </w:tcPr>
          <w:p w14:paraId="15B8BD9D"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B4EEA67" w14:textId="6F67479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216</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D835E5D" w14:textId="797DF014"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410</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3C7F3D2" w14:textId="3CDA0BE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103</w:t>
            </w:r>
          </w:p>
        </w:tc>
        <w:tc>
          <w:tcPr>
            <w:tcW w:w="0" w:type="auto"/>
            <w:vMerge/>
            <w:tcBorders>
              <w:top w:val="single" w:sz="4" w:space="0" w:color="A6A6A6"/>
              <w:left w:val="single" w:sz="4" w:space="0" w:color="A6A6A6"/>
              <w:bottom w:val="nil"/>
              <w:right w:val="single" w:sz="4" w:space="0" w:color="A6A6A6"/>
            </w:tcBorders>
            <w:vAlign w:val="center"/>
            <w:hideMark/>
          </w:tcPr>
          <w:p w14:paraId="68E1978D"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r>
      <w:tr w:rsidR="005305FC" w:rsidRPr="005305FC" w14:paraId="2C57CBAD" w14:textId="77777777" w:rsidTr="005305FC">
        <w:trPr>
          <w:trHeight w:val="300"/>
        </w:trPr>
        <w:tc>
          <w:tcPr>
            <w:tcW w:w="0" w:type="auto"/>
            <w:vMerge w:val="restart"/>
            <w:tcBorders>
              <w:top w:val="single" w:sz="4" w:space="0" w:color="A6A6A6"/>
              <w:left w:val="single" w:sz="4" w:space="0" w:color="A6A6A6"/>
              <w:bottom w:val="single" w:sz="4" w:space="0" w:color="A6A6A6"/>
              <w:right w:val="single" w:sz="4" w:space="0" w:color="A6A6A6"/>
            </w:tcBorders>
            <w:noWrap/>
            <w:vAlign w:val="center"/>
            <w:hideMark/>
          </w:tcPr>
          <w:p w14:paraId="15DB7515"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O´Higgins</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F276CFD"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roofErr w:type="spellStart"/>
            <w:r w:rsidRPr="005305FC">
              <w:rPr>
                <w:rFonts w:ascii="Calibri" w:eastAsia="Times New Roman" w:hAnsi="Calibri" w:cs="Calibri"/>
                <w:color w:val="244062"/>
                <w:sz w:val="18"/>
                <w:szCs w:val="18"/>
                <w:lang w:eastAsia="es-CL"/>
              </w:rPr>
              <w:t>Sun</w:t>
            </w:r>
            <w:proofErr w:type="spellEnd"/>
            <w:r w:rsidRPr="005305FC">
              <w:rPr>
                <w:rFonts w:ascii="Calibri" w:eastAsia="Times New Roman" w:hAnsi="Calibri" w:cs="Calibri"/>
                <w:color w:val="244062"/>
                <w:sz w:val="18"/>
                <w:szCs w:val="18"/>
                <w:lang w:eastAsia="es-CL"/>
              </w:rPr>
              <w:t xml:space="preserve"> Monticello</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468CEEE4" w14:textId="1207AA95"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553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7B57786" w14:textId="1F63BA8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508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7B70939" w14:textId="0BA4C35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1.004</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43E9BCBA" w14:textId="36E6BF4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211</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78FA107F" w14:textId="149C247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2.438</w:t>
            </w:r>
          </w:p>
        </w:tc>
      </w:tr>
      <w:tr w:rsidR="005305FC" w:rsidRPr="005305FC" w14:paraId="2FDDE127" w14:textId="77777777" w:rsidTr="005305FC">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3F2D8949"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0F87C67"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Casino de Colchagua</w:t>
            </w:r>
          </w:p>
        </w:tc>
        <w:tc>
          <w:tcPr>
            <w:tcW w:w="0" w:type="auto"/>
            <w:vMerge/>
            <w:tcBorders>
              <w:top w:val="single" w:sz="4" w:space="0" w:color="A6A6A6"/>
              <w:left w:val="single" w:sz="4" w:space="0" w:color="A6A6A6"/>
              <w:bottom w:val="nil"/>
              <w:right w:val="single" w:sz="4" w:space="0" w:color="A6A6A6"/>
            </w:tcBorders>
            <w:vAlign w:val="center"/>
            <w:hideMark/>
          </w:tcPr>
          <w:p w14:paraId="67C94ED0"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0E161C6" w14:textId="65EB10F1"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45</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170A519" w14:textId="46921814"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91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97A8473" w14:textId="76D1865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26</w:t>
            </w:r>
          </w:p>
        </w:tc>
        <w:tc>
          <w:tcPr>
            <w:tcW w:w="0" w:type="auto"/>
            <w:vMerge/>
            <w:tcBorders>
              <w:top w:val="single" w:sz="4" w:space="0" w:color="A6A6A6"/>
              <w:left w:val="single" w:sz="4" w:space="0" w:color="A6A6A6"/>
              <w:bottom w:val="nil"/>
              <w:right w:val="single" w:sz="4" w:space="0" w:color="A6A6A6"/>
            </w:tcBorders>
            <w:vAlign w:val="center"/>
            <w:hideMark/>
          </w:tcPr>
          <w:p w14:paraId="1C381DD9"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r>
      <w:tr w:rsidR="005305FC" w:rsidRPr="005305FC" w14:paraId="72B9DC5D"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6E136E68"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Del Maule</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A7F726E"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Gran Casino de Talca</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655E079" w14:textId="52E0B4C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79134D6" w14:textId="42D7EF6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8A4B609" w14:textId="0B3D864E"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169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1E824E7" w14:textId="4E43443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64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1DC7D26" w14:textId="67DA304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400</w:t>
            </w:r>
          </w:p>
        </w:tc>
      </w:tr>
      <w:tr w:rsidR="005305FC" w:rsidRPr="005305FC" w14:paraId="245C8202" w14:textId="77777777" w:rsidTr="005305FC">
        <w:trPr>
          <w:trHeight w:val="300"/>
        </w:trPr>
        <w:tc>
          <w:tcPr>
            <w:tcW w:w="0" w:type="auto"/>
            <w:vMerge w:val="restart"/>
            <w:tcBorders>
              <w:top w:val="single" w:sz="4" w:space="0" w:color="A6A6A6"/>
              <w:left w:val="single" w:sz="4" w:space="0" w:color="A6A6A6"/>
              <w:bottom w:val="single" w:sz="4" w:space="0" w:color="A6A6A6"/>
              <w:right w:val="single" w:sz="4" w:space="0" w:color="A6A6A6"/>
            </w:tcBorders>
            <w:noWrap/>
            <w:vAlign w:val="center"/>
            <w:hideMark/>
          </w:tcPr>
          <w:p w14:paraId="5F47D983"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 xml:space="preserve">Del Bío </w:t>
            </w:r>
            <w:proofErr w:type="spellStart"/>
            <w:r w:rsidRPr="005305FC">
              <w:rPr>
                <w:rFonts w:ascii="Calibri" w:eastAsia="Times New Roman" w:hAnsi="Calibri" w:cs="Calibri"/>
                <w:color w:val="244062"/>
                <w:sz w:val="18"/>
                <w:szCs w:val="18"/>
                <w:lang w:eastAsia="es-CL"/>
              </w:rPr>
              <w:t>Bío</w:t>
            </w:r>
            <w:proofErr w:type="spellEnd"/>
            <w:r w:rsidRPr="005305FC">
              <w:rPr>
                <w:rFonts w:ascii="Calibri" w:eastAsia="Times New Roman" w:hAnsi="Calibri" w:cs="Calibri"/>
                <w:color w:val="244062"/>
                <w:sz w:val="18"/>
                <w:szCs w:val="18"/>
                <w:lang w:eastAsia="es-CL"/>
              </w:rPr>
              <w:t xml:space="preserve"> </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2706EFF"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Marina de Sol Talcahuano</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0E5F28DF" w14:textId="21328FD5"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312</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3AFACA1" w14:textId="5CF0090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279</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57E907A" w14:textId="167F6AD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554</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379790D" w14:textId="1B1B1AC1"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216</w:t>
            </w:r>
          </w:p>
        </w:tc>
        <w:tc>
          <w:tcPr>
            <w:tcW w:w="0" w:type="auto"/>
            <w:vMerge w:val="restart"/>
            <w:tcBorders>
              <w:top w:val="single" w:sz="4" w:space="0" w:color="A6A6A6"/>
              <w:left w:val="single" w:sz="4" w:space="0" w:color="A6A6A6"/>
              <w:bottom w:val="nil"/>
              <w:right w:val="single" w:sz="4" w:space="0" w:color="A6A6A6"/>
            </w:tcBorders>
            <w:noWrap/>
            <w:vAlign w:val="center"/>
            <w:hideMark/>
          </w:tcPr>
          <w:p w14:paraId="7625D4AA" w14:textId="57CE5A18"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1.492</w:t>
            </w:r>
          </w:p>
        </w:tc>
      </w:tr>
      <w:tr w:rsidR="005305FC" w:rsidRPr="005305FC" w14:paraId="59ABB224" w14:textId="77777777" w:rsidTr="005305FC">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F45122"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6D946FD"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Casino Gran Los Ángeles</w:t>
            </w:r>
          </w:p>
        </w:tc>
        <w:tc>
          <w:tcPr>
            <w:tcW w:w="0" w:type="auto"/>
            <w:vMerge/>
            <w:tcBorders>
              <w:top w:val="single" w:sz="4" w:space="0" w:color="A6A6A6"/>
              <w:left w:val="single" w:sz="4" w:space="0" w:color="A6A6A6"/>
              <w:bottom w:val="nil"/>
              <w:right w:val="single" w:sz="4" w:space="0" w:color="A6A6A6"/>
            </w:tcBorders>
            <w:vAlign w:val="center"/>
            <w:hideMark/>
          </w:tcPr>
          <w:p w14:paraId="4885363F"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97EDCAA" w14:textId="533BB411"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2E42E10" w14:textId="71461BDE"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63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16C80085" w14:textId="2BA796A4"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37</w:t>
            </w:r>
          </w:p>
        </w:tc>
        <w:tc>
          <w:tcPr>
            <w:tcW w:w="0" w:type="auto"/>
            <w:vMerge/>
            <w:tcBorders>
              <w:top w:val="single" w:sz="4" w:space="0" w:color="A6A6A6"/>
              <w:left w:val="single" w:sz="4" w:space="0" w:color="A6A6A6"/>
              <w:bottom w:val="nil"/>
              <w:right w:val="single" w:sz="4" w:space="0" w:color="A6A6A6"/>
            </w:tcBorders>
            <w:vAlign w:val="center"/>
            <w:hideMark/>
          </w:tcPr>
          <w:p w14:paraId="11C8A697"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r>
      <w:tr w:rsidR="005305FC" w:rsidRPr="005305FC" w14:paraId="7311FB38"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2ADDED44"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 xml:space="preserve">De La Araucanía </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EE4098B"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Dreams Temuco</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D4EEA0C" w14:textId="32AE671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161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7758BF3" w14:textId="6C118943"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161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386CEF6" w14:textId="5EC0D1DE"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321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5BE5323" w14:textId="04F0EA7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119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1884027" w14:textId="4BEF91C3"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762</w:t>
            </w:r>
          </w:p>
        </w:tc>
      </w:tr>
      <w:tr w:rsidR="005305FC" w:rsidRPr="005305FC" w14:paraId="00EED0F9"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3DF987F"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Los Ríos</w:t>
            </w:r>
          </w:p>
        </w:tc>
        <w:tc>
          <w:tcPr>
            <w:tcW w:w="0" w:type="auto"/>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03E9EB13"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Dreams Valdivia</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3FEBEE73" w14:textId="5743CD5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927949B" w14:textId="62E8576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E7CEE8D" w14:textId="402851A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159</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79D874CE" w14:textId="3E90D451"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82</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0005FE06" w14:textId="62D089E8"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407</w:t>
            </w:r>
          </w:p>
        </w:tc>
      </w:tr>
      <w:tr w:rsidR="005305FC" w:rsidRPr="005305FC" w14:paraId="681E4F39" w14:textId="77777777" w:rsidTr="005305FC">
        <w:trPr>
          <w:trHeight w:val="300"/>
        </w:trPr>
        <w:tc>
          <w:tcPr>
            <w:tcW w:w="0" w:type="auto"/>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64D39B0D"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Los Lagos</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4F02ADE"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Marina del Sol Osorno</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2CA94717" w14:textId="6A54ECF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89</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518F8EC" w14:textId="4F98639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62</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A125F15" w14:textId="146E332C"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124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DD69175" w14:textId="41DD05A0"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49</w:t>
            </w:r>
          </w:p>
        </w:tc>
        <w:tc>
          <w:tcPr>
            <w:tcW w:w="0" w:type="auto"/>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7B96ED66" w14:textId="0C946F9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424</w:t>
            </w:r>
          </w:p>
        </w:tc>
      </w:tr>
      <w:tr w:rsidR="005305FC" w:rsidRPr="005305FC" w14:paraId="51E3EC35" w14:textId="77777777" w:rsidTr="005305FC">
        <w:trPr>
          <w:trHeight w:val="300"/>
        </w:trPr>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6DD23092"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39E3C56"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proofErr w:type="spellStart"/>
            <w:r w:rsidRPr="005305FC">
              <w:rPr>
                <w:rFonts w:ascii="Calibri" w:eastAsia="Times New Roman" w:hAnsi="Calibri" w:cs="Calibri"/>
                <w:color w:val="244062"/>
                <w:sz w:val="18"/>
                <w:szCs w:val="18"/>
                <w:lang w:eastAsia="es-CL"/>
              </w:rPr>
              <w:t>Enjoy</w:t>
            </w:r>
            <w:proofErr w:type="spellEnd"/>
            <w:r w:rsidRPr="005305FC">
              <w:rPr>
                <w:rFonts w:ascii="Calibri" w:eastAsia="Times New Roman" w:hAnsi="Calibri" w:cs="Calibri"/>
                <w:color w:val="244062"/>
                <w:sz w:val="18"/>
                <w:szCs w:val="18"/>
                <w:lang w:eastAsia="es-CL"/>
              </w:rPr>
              <w:t xml:space="preserve"> Chiloé</w:t>
            </w:r>
          </w:p>
        </w:tc>
        <w:tc>
          <w:tcPr>
            <w:tcW w:w="0" w:type="auto"/>
            <w:vMerge/>
            <w:tcBorders>
              <w:top w:val="single" w:sz="4" w:space="0" w:color="A6A6A6"/>
              <w:left w:val="single" w:sz="4" w:space="0" w:color="A6A6A6"/>
              <w:bottom w:val="nil"/>
              <w:right w:val="single" w:sz="4" w:space="0" w:color="A6A6A6"/>
            </w:tcBorders>
            <w:vAlign w:val="center"/>
            <w:hideMark/>
          </w:tcPr>
          <w:p w14:paraId="587D8D47"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3A1B50F" w14:textId="203862B2"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27</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DABD93D" w14:textId="5B78862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51</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4B9DC5D" w14:textId="0E26825D"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21</w:t>
            </w:r>
          </w:p>
        </w:tc>
        <w:tc>
          <w:tcPr>
            <w:tcW w:w="0" w:type="auto"/>
            <w:vMerge/>
            <w:tcBorders>
              <w:top w:val="single" w:sz="4" w:space="0" w:color="A6A6A6"/>
              <w:left w:val="single" w:sz="4" w:space="0" w:color="A6A6A6"/>
              <w:bottom w:val="nil"/>
              <w:right w:val="single" w:sz="4" w:space="0" w:color="A6A6A6"/>
            </w:tcBorders>
            <w:vAlign w:val="center"/>
            <w:hideMark/>
          </w:tcPr>
          <w:p w14:paraId="7947C881" w14:textId="77777777"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p>
        </w:tc>
      </w:tr>
      <w:tr w:rsidR="005305FC" w:rsidRPr="005305FC" w14:paraId="0255A574"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noWrap/>
            <w:vAlign w:val="center"/>
            <w:hideMark/>
          </w:tcPr>
          <w:p w14:paraId="2FE98419"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Aysén</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C7D7A91"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Dreams Coyhaique</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64D3CB17" w14:textId="580B86EB"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C2316F6" w14:textId="6F013276"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41</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9349A88" w14:textId="563B10A3"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78</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521931F7" w14:textId="402ADC0F"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33</w:t>
            </w:r>
          </w:p>
        </w:tc>
        <w:tc>
          <w:tcPr>
            <w:tcW w:w="0" w:type="auto"/>
            <w:tcBorders>
              <w:top w:val="single" w:sz="4" w:space="0" w:color="A6A6A6"/>
              <w:left w:val="single" w:sz="4" w:space="0" w:color="A6A6A6"/>
              <w:bottom w:val="single" w:sz="4" w:space="0" w:color="A6A6A6"/>
              <w:right w:val="single" w:sz="4" w:space="0" w:color="A6A6A6"/>
            </w:tcBorders>
            <w:noWrap/>
            <w:vAlign w:val="bottom"/>
            <w:hideMark/>
          </w:tcPr>
          <w:p w14:paraId="2B9EB36A" w14:textId="56F81E14"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193</w:t>
            </w:r>
          </w:p>
        </w:tc>
      </w:tr>
      <w:tr w:rsidR="005305FC" w:rsidRPr="005305FC" w14:paraId="50E31A8B" w14:textId="77777777" w:rsidTr="005305FC">
        <w:trPr>
          <w:trHeight w:val="300"/>
        </w:trPr>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2AB9129B"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De Magallanes</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90B9862" w14:textId="77777777" w:rsidR="005305FC" w:rsidRPr="005305FC" w:rsidRDefault="005305FC" w:rsidP="005305FC">
            <w:pPr>
              <w:spacing w:after="0" w:line="240" w:lineRule="auto"/>
              <w:jc w:val="left"/>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Dreams Punta Arenas</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CE1AA6F" w14:textId="3A6493CA"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123</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854656D" w14:textId="274B2EF3"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123</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8C3DF3D" w14:textId="78290CC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245</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D57FC6E" w14:textId="776ACE50"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114</w:t>
            </w:r>
          </w:p>
        </w:tc>
        <w:tc>
          <w:tcPr>
            <w:tcW w:w="0" w:type="auto"/>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37BD68F" w14:textId="7917B919" w:rsidR="005305FC" w:rsidRPr="005305FC" w:rsidRDefault="005305FC" w:rsidP="005305FC">
            <w:pPr>
              <w:spacing w:after="0" w:line="240" w:lineRule="auto"/>
              <w:jc w:val="center"/>
              <w:rPr>
                <w:rFonts w:ascii="Calibri" w:eastAsia="Times New Roman" w:hAnsi="Calibri" w:cs="Calibri"/>
                <w:color w:val="244062"/>
                <w:sz w:val="18"/>
                <w:szCs w:val="18"/>
                <w:lang w:eastAsia="es-CL"/>
              </w:rPr>
            </w:pPr>
            <w:r w:rsidRPr="005305FC">
              <w:rPr>
                <w:rFonts w:ascii="Calibri" w:eastAsia="Times New Roman" w:hAnsi="Calibri" w:cs="Calibri"/>
                <w:color w:val="244062"/>
                <w:sz w:val="18"/>
                <w:szCs w:val="18"/>
                <w:lang w:eastAsia="es-CL"/>
              </w:rPr>
              <w:t>605</w:t>
            </w:r>
          </w:p>
        </w:tc>
      </w:tr>
      <w:tr w:rsidR="005305FC" w:rsidRPr="005305FC" w14:paraId="024F18AE" w14:textId="77777777" w:rsidTr="005305FC">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337E243C" w14:textId="77777777" w:rsidR="005305FC" w:rsidRPr="005305FC" w:rsidRDefault="005305FC" w:rsidP="005305FC">
            <w:pPr>
              <w:spacing w:after="0" w:line="240" w:lineRule="auto"/>
              <w:jc w:val="center"/>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Total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940CE31"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2.078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632F0B7"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2.078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B4957D3"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4.100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7BB0E1A"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1.428  </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E18A3C2" w14:textId="77777777" w:rsidR="005305FC" w:rsidRPr="005305FC" w:rsidRDefault="005305FC" w:rsidP="005305FC">
            <w:pPr>
              <w:spacing w:after="0" w:line="240" w:lineRule="auto"/>
              <w:jc w:val="right"/>
              <w:rPr>
                <w:rFonts w:ascii="Calibri" w:eastAsia="Times New Roman" w:hAnsi="Calibri" w:cs="Calibri"/>
                <w:b/>
                <w:bCs/>
                <w:color w:val="FFFFFF"/>
                <w:sz w:val="18"/>
                <w:szCs w:val="18"/>
                <w:lang w:eastAsia="es-CL"/>
              </w:rPr>
            </w:pPr>
            <w:r w:rsidRPr="005305FC">
              <w:rPr>
                <w:rFonts w:ascii="Calibri" w:eastAsia="Times New Roman" w:hAnsi="Calibri" w:cs="Calibri"/>
                <w:b/>
                <w:bCs/>
                <w:color w:val="FFFFFF"/>
                <w:sz w:val="18"/>
                <w:szCs w:val="18"/>
                <w:lang w:eastAsia="es-CL"/>
              </w:rPr>
              <w:t xml:space="preserve">9.684  </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77777777" w:rsidR="005B1CCB" w:rsidRDefault="005B1CCB"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2015-201</w:t>
      </w:r>
      <w:r w:rsidR="00C742BA">
        <w:rPr>
          <w:b/>
        </w:rPr>
        <w:t>7</w:t>
      </w:r>
    </w:p>
    <w:p w14:paraId="134EC264" w14:textId="04E984CD" w:rsidR="00FB3D8B" w:rsidRDefault="005305FC" w:rsidP="007C4E85">
      <w:pPr>
        <w:pStyle w:val="Prrafodelista"/>
        <w:tabs>
          <w:tab w:val="left" w:pos="0"/>
        </w:tabs>
        <w:ind w:left="0"/>
        <w:jc w:val="left"/>
        <w:rPr>
          <w:b/>
        </w:rPr>
      </w:pPr>
      <w:r>
        <w:rPr>
          <w:b/>
          <w:noProof/>
        </w:rPr>
        <w:drawing>
          <wp:inline distT="0" distB="0" distL="0" distR="0" wp14:anchorId="49B35D39" wp14:editId="1A966F9A">
            <wp:extent cx="5535732" cy="1423133"/>
            <wp:effectExtent l="0" t="0" r="8255"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5562" cy="1443656"/>
                    </a:xfrm>
                    <a:prstGeom prst="rect">
                      <a:avLst/>
                    </a:prstGeom>
                    <a:noFill/>
                  </pic:spPr>
                </pic:pic>
              </a:graphicData>
            </a:graphic>
          </wp:inline>
        </w:drawing>
      </w:r>
    </w:p>
    <w:p w14:paraId="4F8429CE" w14:textId="0FCE707C" w:rsidR="00196290" w:rsidRDefault="00196290" w:rsidP="00FB3D8B">
      <w:pPr>
        <w:pStyle w:val="Prrafodelista"/>
        <w:tabs>
          <w:tab w:val="left" w:pos="0"/>
        </w:tabs>
        <w:ind w:left="0"/>
        <w:rPr>
          <w:b/>
        </w:rPr>
      </w:pPr>
    </w:p>
    <w:p w14:paraId="7DBE0E8C" w14:textId="77777777" w:rsidR="00E660DE" w:rsidRDefault="00E660DE" w:rsidP="00FB3D8B">
      <w:pPr>
        <w:pStyle w:val="Prrafodelista"/>
        <w:tabs>
          <w:tab w:val="left" w:pos="0"/>
        </w:tabs>
        <w:ind w:left="0"/>
        <w:rPr>
          <w:b/>
        </w:rPr>
      </w:pP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lastRenderedPageBreak/>
        <w:t xml:space="preserve">Ingresos brutos del juego o </w:t>
      </w:r>
      <w:proofErr w:type="spellStart"/>
      <w:r w:rsidRPr="003D15B6">
        <w:rPr>
          <w:b/>
          <w:sz w:val="21"/>
          <w:szCs w:val="21"/>
        </w:rPr>
        <w:t>win</w:t>
      </w:r>
      <w:proofErr w:type="spellEnd"/>
      <w:r w:rsidRPr="003D15B6">
        <w:rPr>
          <w:b/>
          <w:sz w:val="21"/>
          <w:szCs w:val="21"/>
        </w:rPr>
        <w:t xml:space="preserve">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5305FC"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5305FC" w:rsidRPr="00CA6263" w:rsidRDefault="005305FC" w:rsidP="005305FC">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A31D5AC"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3DB7F6FE"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294FE61D"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52EFFAA3"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05F11573"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759365FC"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24E57BB6"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10CF5E91"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26891DC9"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74C27F1B"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7D1D9C3B"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73FF7CD1" w:rsidR="005305FC" w:rsidRPr="007C4E85" w:rsidRDefault="005305FC" w:rsidP="005305F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r>
      <w:tr w:rsidR="00FB3D8B"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FB3D8B"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5305FC"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177EF57F" w:rsidR="005305FC" w:rsidRPr="00C708EE" w:rsidRDefault="005305FC" w:rsidP="005305FC">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junio 2015-mayo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7E5CC400"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10.033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4B54CC47"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11.478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627D1841"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10.400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68DFCAEF"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10.084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7C5D569D"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10.987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1B4E055C"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10.019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2679EA1E"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10.822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4E5D54B9"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14.721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1A3F09A5"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16.670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633736D5"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12.584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16438530"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11.067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73E66A25"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11.083 </w:t>
            </w:r>
          </w:p>
        </w:tc>
      </w:tr>
      <w:tr w:rsidR="005305FC"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180B8419" w:rsidR="005305FC" w:rsidRPr="00C708EE" w:rsidRDefault="005305FC" w:rsidP="005305FC">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junio 2016-mayo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77E40F34"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10.675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3875E0D1"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12.648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01657F53"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11.041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773CDC8A"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11.455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233B66AF"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11.961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62317B44"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10.105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45C142DB"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11.873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715B596F"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15.041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2FC6F12D"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16.030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0944B23F"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12.380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07F4562B"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11.705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145A0D72"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 xml:space="preserve"> 10.960 </w:t>
            </w:r>
          </w:p>
        </w:tc>
      </w:tr>
      <w:tr w:rsidR="005305FC"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0E19EA2C" w:rsidR="005305FC" w:rsidRPr="00C708EE" w:rsidRDefault="005305FC" w:rsidP="005305FC">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Style w:val="font701"/>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167A8F45"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6,4%</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30FD4CD7"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10,2%</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57636AF7"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6,2%</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7B418277"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13,6%</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298050B2"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8,9%</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5770C18F"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0,9%</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752728C8"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9,7%</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1420096E"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2,2%</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785A91DE"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-3,8%</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6470C79D"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-1,6%</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77785265"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5,8%</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71677FA8" w:rsidR="005305FC" w:rsidRPr="00C708EE" w:rsidRDefault="005305FC" w:rsidP="005305FC">
            <w:pPr>
              <w:jc w:val="center"/>
              <w:rPr>
                <w:rFonts w:ascii="Calibri" w:hAnsi="Calibri"/>
                <w:color w:val="000000"/>
                <w:sz w:val="10"/>
                <w:szCs w:val="12"/>
              </w:rPr>
            </w:pPr>
            <w:r>
              <w:rPr>
                <w:rFonts w:ascii="Calibri" w:hAnsi="Calibri" w:cs="Calibri"/>
                <w:color w:val="000000"/>
                <w:sz w:val="12"/>
                <w:szCs w:val="12"/>
              </w:rPr>
              <w:t>-1,1%</w:t>
            </w:r>
          </w:p>
        </w:tc>
      </w:tr>
      <w:tr w:rsidR="00FB3D8B"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267D4B7D" w:rsidR="00FB3D8B" w:rsidRPr="00C708EE" w:rsidRDefault="00E36BEB" w:rsidP="00574797">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4</w:t>
            </w:r>
            <w:r w:rsidR="00BE4A8E" w:rsidRPr="00C708EE">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2</w:t>
            </w:r>
            <w:r w:rsidR="00FB3D8B" w:rsidRPr="00C708EE">
              <w:rPr>
                <w:rFonts w:ascii="Calibri" w:eastAsia="Times New Roman" w:hAnsi="Calibri" w:cs="Times New Roman"/>
                <w:color w:val="000000"/>
                <w:sz w:val="10"/>
                <w:szCs w:val="12"/>
                <w:lang w:eastAsia="es-CL"/>
              </w:rPr>
              <w:t>%</w:t>
            </w:r>
          </w:p>
        </w:tc>
      </w:tr>
      <w:tr w:rsidR="00FB3D8B"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 xml:space="preserve">Ingresos brutos del juego o </w:t>
            </w:r>
            <w:proofErr w:type="spellStart"/>
            <w:r w:rsidRPr="00C708EE">
              <w:rPr>
                <w:rFonts w:ascii="Calibri" w:eastAsia="Times New Roman" w:hAnsi="Calibri" w:cs="Times New Roman"/>
                <w:b/>
                <w:bCs/>
                <w:color w:val="FFFFFF"/>
                <w:sz w:val="10"/>
                <w:szCs w:val="12"/>
                <w:lang w:eastAsia="es-CL"/>
              </w:rPr>
              <w:t>win</w:t>
            </w:r>
            <w:proofErr w:type="spellEnd"/>
            <w:r w:rsidRPr="00C708EE">
              <w:rPr>
                <w:rFonts w:ascii="Calibri" w:eastAsia="Times New Roman" w:hAnsi="Calibri" w:cs="Times New Roman"/>
                <w:b/>
                <w:bCs/>
                <w:color w:val="FFFFFF"/>
                <w:sz w:val="10"/>
                <w:szCs w:val="12"/>
                <w:lang w:eastAsia="es-CL"/>
              </w:rPr>
              <w:t xml:space="preserve"> (U.F.)</w:t>
            </w:r>
          </w:p>
        </w:tc>
      </w:tr>
      <w:tr w:rsidR="00FB3D8B"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5305FC"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0A81F9FB" w:rsidR="005305FC" w:rsidRPr="005305FC" w:rsidRDefault="005305FC" w:rsidP="005305FC">
            <w:pPr>
              <w:spacing w:line="240" w:lineRule="auto"/>
              <w:jc w:val="left"/>
              <w:rPr>
                <w:rFonts w:ascii="Calibri" w:hAnsi="Calibri"/>
                <w:color w:val="000000"/>
                <w:sz w:val="10"/>
                <w:szCs w:val="12"/>
              </w:rPr>
            </w:pPr>
            <w:proofErr w:type="spellStart"/>
            <w:r w:rsidRPr="005305FC">
              <w:rPr>
                <w:rFonts w:ascii="Calibri" w:hAnsi="Calibri" w:cs="Calibri"/>
                <w:color w:val="000000"/>
                <w:sz w:val="10"/>
                <w:szCs w:val="12"/>
              </w:rPr>
              <w:t>Win</w:t>
            </w:r>
            <w:proofErr w:type="spellEnd"/>
            <w:r w:rsidRPr="005305FC">
              <w:rPr>
                <w:rFonts w:ascii="Calibri" w:hAnsi="Calibri" w:cs="Calibri"/>
                <w:color w:val="000000"/>
                <w:sz w:val="10"/>
                <w:szCs w:val="12"/>
              </w:rPr>
              <w:t xml:space="preserve"> junio 2015-mayo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65BEC6FE"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407.487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018593BA"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463.665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7AC632E0"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417.600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691B4588"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403.625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09F12B4B"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437.971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707A9F0A"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397.669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0EB2C064"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426.975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54F0851E"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574.370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0019DA26"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648.215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7BBD79EE"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487.540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05BBD36C"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427.191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57E4AC1B"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426.369 </w:t>
            </w:r>
          </w:p>
        </w:tc>
      </w:tr>
      <w:tr w:rsidR="005305FC"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1ABEEE1E" w:rsidR="005305FC" w:rsidRPr="005305FC" w:rsidRDefault="005305FC" w:rsidP="005305FC">
            <w:pPr>
              <w:jc w:val="left"/>
              <w:rPr>
                <w:rFonts w:ascii="Calibri" w:hAnsi="Calibri"/>
                <w:color w:val="000000"/>
                <w:sz w:val="10"/>
                <w:szCs w:val="12"/>
              </w:rPr>
            </w:pPr>
            <w:proofErr w:type="spellStart"/>
            <w:r w:rsidRPr="005305FC">
              <w:rPr>
                <w:rFonts w:ascii="Calibri" w:hAnsi="Calibri" w:cs="Calibri"/>
                <w:color w:val="000000"/>
                <w:sz w:val="10"/>
                <w:szCs w:val="12"/>
              </w:rPr>
              <w:t>Win</w:t>
            </w:r>
            <w:proofErr w:type="spellEnd"/>
            <w:r w:rsidRPr="005305FC">
              <w:rPr>
                <w:rFonts w:ascii="Calibri" w:hAnsi="Calibri" w:cs="Calibri"/>
                <w:color w:val="000000"/>
                <w:sz w:val="10"/>
                <w:szCs w:val="12"/>
              </w:rPr>
              <w:t xml:space="preserve"> junio 2016-mayo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409DB14C"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385.131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449F169E"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439.067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23A7AE85"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396.817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6E9863E9"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384.520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48763CF6"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418.377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539155D8"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380.753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04CF7C15"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410.753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42FE942C"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559.331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4B850435"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631.644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0141631F"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475.387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23279502"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416.662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5CEAE227"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 xml:space="preserve"> 416.156 </w:t>
            </w:r>
          </w:p>
        </w:tc>
      </w:tr>
      <w:tr w:rsidR="005305FC"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35AB3651" w:rsidR="005305FC" w:rsidRPr="005305FC" w:rsidRDefault="005305FC" w:rsidP="005305FC">
            <w:pPr>
              <w:jc w:val="left"/>
              <w:rPr>
                <w:rFonts w:ascii="Calibri" w:hAnsi="Calibri"/>
                <w:color w:val="000000"/>
                <w:sz w:val="10"/>
                <w:szCs w:val="12"/>
              </w:rPr>
            </w:pPr>
            <w:r w:rsidRPr="005305FC">
              <w:rPr>
                <w:rFonts w:ascii="Calibri" w:hAnsi="Calibri" w:cs="Calibri"/>
                <w:color w:val="000000"/>
                <w:sz w:val="10"/>
                <w:szCs w:val="12"/>
              </w:rPr>
              <w:t xml:space="preserve">Crecimiento </w:t>
            </w:r>
            <w:proofErr w:type="spellStart"/>
            <w:r w:rsidRPr="005305FC">
              <w:rPr>
                <w:rFonts w:ascii="Calibri" w:hAnsi="Calibri" w:cs="Calibri"/>
                <w:color w:val="000000"/>
                <w:sz w:val="10"/>
                <w:szCs w:val="12"/>
              </w:rPr>
              <w:t>Win</w:t>
            </w:r>
            <w:proofErr w:type="spellEnd"/>
            <w:r w:rsidRPr="005305FC">
              <w:rPr>
                <w:rFonts w:ascii="Calibri" w:hAnsi="Calibri" w:cs="Calibri"/>
                <w:color w:val="000000"/>
                <w:sz w:val="10"/>
                <w:szCs w:val="12"/>
              </w:rPr>
              <w:t xml:space="preserve"> </w:t>
            </w:r>
            <w:r w:rsidRPr="005305FC">
              <w:rPr>
                <w:rStyle w:val="font701"/>
                <w:sz w:val="10"/>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7D1E3035"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-5,5%</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63C335E7"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-5,3%</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0571D0E7"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-5,0%</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7C30A907"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-4,7%</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900156A"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-4,5%</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012F9199"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-4,3%</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7CA2A33D"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-3,8%</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46E71C3D"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-2,6%</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62EDCA0B"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-2,6%</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0A6ADA86"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-2,5%</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0D76A032"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-2,5%</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7580C3B5" w:rsidR="005305FC" w:rsidRPr="005305FC" w:rsidRDefault="005305FC" w:rsidP="005305FC">
            <w:pPr>
              <w:jc w:val="center"/>
              <w:rPr>
                <w:rFonts w:ascii="Calibri" w:hAnsi="Calibri"/>
                <w:color w:val="000000"/>
                <w:sz w:val="10"/>
                <w:szCs w:val="12"/>
              </w:rPr>
            </w:pPr>
            <w:r w:rsidRPr="005305FC">
              <w:rPr>
                <w:rFonts w:ascii="Calibri" w:hAnsi="Calibri" w:cs="Calibri"/>
                <w:color w:val="000000"/>
                <w:sz w:val="10"/>
                <w:szCs w:val="12"/>
              </w:rPr>
              <w:t>-2,4%</w:t>
            </w:r>
          </w:p>
        </w:tc>
      </w:tr>
      <w:tr w:rsidR="00FB3D8B"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0CB4B486" w:rsidR="00FB3D8B" w:rsidRPr="00C708EE" w:rsidRDefault="00C742BA" w:rsidP="00C708EE">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w:t>
            </w:r>
            <w:r w:rsidR="005305FC">
              <w:rPr>
                <w:rFonts w:ascii="Calibri" w:eastAsia="Times New Roman" w:hAnsi="Calibri" w:cs="Times New Roman"/>
                <w:color w:val="000000"/>
                <w:sz w:val="10"/>
                <w:szCs w:val="12"/>
                <w:lang w:eastAsia="es-CL"/>
              </w:rPr>
              <w:t>3,1</w:t>
            </w:r>
            <w:r w:rsidR="00FB3D8B" w:rsidRPr="00C708EE">
              <w:rPr>
                <w:rFonts w:ascii="Calibri" w:eastAsia="Times New Roman" w:hAnsi="Calibri" w:cs="Times New Roman"/>
                <w:color w:val="000000"/>
                <w:sz w:val="10"/>
                <w:szCs w:val="12"/>
                <w:lang w:eastAsia="es-CL"/>
              </w:rPr>
              <w:t>%</w:t>
            </w:r>
          </w:p>
        </w:tc>
      </w:tr>
    </w:tbl>
    <w:p w14:paraId="36E6C52F" w14:textId="54AAABA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7B3DEF4A" w14:textId="77777777" w:rsidR="00643409" w:rsidRDefault="00643409" w:rsidP="00FB3D8B">
      <w:pPr>
        <w:pStyle w:val="Prrafodelista"/>
        <w:tabs>
          <w:tab w:val="left" w:pos="0"/>
          <w:tab w:val="left" w:pos="6285"/>
        </w:tabs>
        <w:ind w:left="0"/>
      </w:pPr>
    </w:p>
    <w:p w14:paraId="7C0D4559" w14:textId="53CE74B5"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casino de </w:t>
      </w:r>
      <w:r w:rsidR="003404EF" w:rsidRPr="00E80F2B">
        <w:rPr>
          <w:b/>
        </w:rPr>
        <w:t>juego</w:t>
      </w:r>
      <w:r w:rsidR="003404EF">
        <w:rPr>
          <w:b/>
        </w:rPr>
        <w:t>:</w:t>
      </w:r>
      <w:r>
        <w:rPr>
          <w:b/>
        </w:rPr>
        <w:t xml:space="preserve"> </w:t>
      </w:r>
      <w:r w:rsidR="005305FC">
        <w:rPr>
          <w:b/>
        </w:rPr>
        <w:t>abril</w:t>
      </w:r>
      <w:r w:rsidR="00D2557C">
        <w:rPr>
          <w:b/>
        </w:rPr>
        <w:t xml:space="preserve"> </w:t>
      </w:r>
      <w:r w:rsidRPr="00E80F2B">
        <w:rPr>
          <w:b/>
        </w:rPr>
        <w:t>-</w:t>
      </w:r>
      <w:r>
        <w:rPr>
          <w:b/>
        </w:rPr>
        <w:t xml:space="preserve"> </w:t>
      </w:r>
      <w:r w:rsidR="005305FC">
        <w:rPr>
          <w:b/>
        </w:rPr>
        <w:t>mayo</w:t>
      </w:r>
      <w:r w:rsidRPr="00E80F2B">
        <w:rPr>
          <w:b/>
        </w:rPr>
        <w:t xml:space="preserve"> 201</w:t>
      </w:r>
      <w:r w:rsidR="00C742BA">
        <w:rPr>
          <w:b/>
        </w:rPr>
        <w:t>7</w:t>
      </w:r>
    </w:p>
    <w:p w14:paraId="242A55EE" w14:textId="38B2E567" w:rsidR="00FB3D8B" w:rsidRDefault="005305FC" w:rsidP="00DB1263">
      <w:pPr>
        <w:pStyle w:val="Prrafodelista"/>
        <w:tabs>
          <w:tab w:val="left" w:pos="0"/>
          <w:tab w:val="left" w:pos="360"/>
          <w:tab w:val="left" w:pos="6285"/>
        </w:tabs>
        <w:ind w:left="0" w:hanging="142"/>
        <w:jc w:val="center"/>
        <w:rPr>
          <w:b/>
        </w:rPr>
      </w:pPr>
      <w:r>
        <w:rPr>
          <w:b/>
          <w:noProof/>
        </w:rPr>
        <w:drawing>
          <wp:inline distT="0" distB="0" distL="0" distR="0" wp14:anchorId="06584B02" wp14:editId="6900C351">
            <wp:extent cx="5434206" cy="2586251"/>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0438" cy="2598736"/>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81E3" w14:textId="77777777" w:rsidR="007B3621" w:rsidRDefault="007B3621" w:rsidP="00FD382C">
      <w:r>
        <w:separator/>
      </w:r>
    </w:p>
  </w:endnote>
  <w:endnote w:type="continuationSeparator" w:id="0">
    <w:p w14:paraId="18B6488C" w14:textId="77777777" w:rsidR="007B3621" w:rsidRDefault="007B3621"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2C3DCB" w:rsidRDefault="002C3DCB">
    <w:pPr>
      <w:pStyle w:val="Piedepgina"/>
    </w:pPr>
  </w:p>
  <w:p w14:paraId="2E5D0DE2" w14:textId="77777777" w:rsidR="002C3DCB" w:rsidRDefault="002C3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8129" w14:textId="77777777" w:rsidR="007B3621" w:rsidRDefault="007B3621" w:rsidP="00FD382C">
      <w:r>
        <w:separator/>
      </w:r>
    </w:p>
  </w:footnote>
  <w:footnote w:type="continuationSeparator" w:id="0">
    <w:p w14:paraId="33BFA6F3" w14:textId="77777777" w:rsidR="007B3621" w:rsidRDefault="007B3621" w:rsidP="00FD382C">
      <w:r>
        <w:continuationSeparator/>
      </w:r>
    </w:p>
  </w:footnote>
  <w:footnote w:id="1">
    <w:p w14:paraId="7ABE445F" w14:textId="14DBE81A" w:rsidR="002C3DCB" w:rsidRPr="00FD382C" w:rsidRDefault="002C3DCB"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w:t>
      </w:r>
      <w:proofErr w:type="spellStart"/>
      <w:r>
        <w:rPr>
          <w:lang w:val="es-ES"/>
        </w:rPr>
        <w:t>N°</w:t>
      </w:r>
      <w:proofErr w:type="spellEnd"/>
      <w:r>
        <w:rPr>
          <w:lang w:val="es-ES"/>
        </w:rPr>
        <w:t xml:space="preserve"> 19.995. </w:t>
      </w:r>
    </w:p>
  </w:footnote>
  <w:footnote w:id="2">
    <w:p w14:paraId="43D57593" w14:textId="77777777" w:rsidR="00A1369B" w:rsidRDefault="00A1369B"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w:t>
      </w:r>
      <w:proofErr w:type="spellStart"/>
      <w:r>
        <w:rPr>
          <w:lang w:val="es-ES"/>
        </w:rPr>
        <w:t>N°</w:t>
      </w:r>
      <w:proofErr w:type="spellEnd"/>
      <w:r>
        <w:rPr>
          <w:lang w:val="es-ES"/>
        </w:rPr>
        <w:t xml:space="preserve"> 19.995 –en UF del último día del mes- del mes de mayo en los años 2016 y 2017.</w:t>
      </w:r>
    </w:p>
  </w:footnote>
  <w:footnote w:id="3">
    <w:p w14:paraId="7DE5319D" w14:textId="77777777" w:rsidR="00A1369B" w:rsidRDefault="00A1369B" w:rsidP="00A1369B">
      <w:pPr>
        <w:pStyle w:val="Textonotapie"/>
      </w:pPr>
      <w:r>
        <w:rPr>
          <w:rStyle w:val="Refdenotaalpie"/>
        </w:rPr>
        <w:footnoteRef/>
      </w:r>
      <w:r>
        <w:t xml:space="preserve"> </w:t>
      </w:r>
      <w:r>
        <w:rPr>
          <w:lang w:val="es-ES"/>
        </w:rPr>
        <w:t>Corresponde al crecimiento de los ingresos brutos acumulados, considerando el periodo junio de 2016-mayo de 2017, y se comparan con los ingresos acumulados del periodo junio de 2015-mayo de 2016, corregido por la UF del último día del mes.</w:t>
      </w:r>
    </w:p>
  </w:footnote>
  <w:footnote w:id="4">
    <w:p w14:paraId="7051DE0E" w14:textId="402247E9" w:rsidR="002C3DCB" w:rsidRPr="00FD382C" w:rsidRDefault="002C3DCB"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mayo en los años 2016-2017.</w:t>
      </w:r>
    </w:p>
  </w:footnote>
  <w:footnote w:id="5">
    <w:p w14:paraId="0FC0AE82" w14:textId="77777777" w:rsidR="002C3DCB" w:rsidRPr="00D42C6C" w:rsidRDefault="002C3DCB"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proofErr w:type="gramStart"/>
      <w:r w:rsidRPr="00D42C6C">
        <w:rPr>
          <w:lang w:val="es-ES"/>
        </w:rPr>
        <w:t>inform</w:t>
      </w:r>
      <w:r>
        <w:rPr>
          <w:lang w:val="es-ES"/>
        </w:rPr>
        <w:t xml:space="preserve">ándose </w:t>
      </w:r>
      <w:r w:rsidRPr="00D42C6C">
        <w:rPr>
          <w:lang w:val="es-ES"/>
        </w:rPr>
        <w:t xml:space="preserve"> las</w:t>
      </w:r>
      <w:proofErr w:type="gramEnd"/>
      <w:r w:rsidRPr="00D42C6C">
        <w:rPr>
          <w:lang w:val="es-ES"/>
        </w:rPr>
        <w:t xml:space="preserve"> variaciones reales, es decir corregidas al valor de la UF del último día del mes. En todo caso, se adjunta una tabla en el documento que mantiene la serie histórica para ambas mediciones.</w:t>
      </w:r>
    </w:p>
  </w:footnote>
  <w:footnote w:id="6">
    <w:p w14:paraId="6DF36899" w14:textId="12153881" w:rsidR="002C3DCB" w:rsidRPr="00FD382C" w:rsidRDefault="002C3DCB"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junio de 2016 a mayo de 2017, y se comparan con los ingresos acumulados de junio de 2015 a mayo de 2016, corregido por la UF del último día del mes.</w:t>
      </w:r>
    </w:p>
  </w:footnote>
  <w:footnote w:id="7">
    <w:p w14:paraId="2E009857" w14:textId="77777777" w:rsidR="002C3DCB" w:rsidRPr="0004531A" w:rsidRDefault="002C3DCB"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2C3DCB" w:rsidRPr="0004531A" w:rsidRDefault="002C3DCB"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2C3DCB" w:rsidRDefault="002C3DCB">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2C3DCB" w:rsidRDefault="002C3DCB"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2C3DCB" w:rsidRPr="00FD382C" w:rsidRDefault="002C3DCB" w:rsidP="009858E3">
    <w:pPr>
      <w:pStyle w:val="Encabezado"/>
      <w:pBdr>
        <w:bottom w:val="single" w:sz="4" w:space="1" w:color="auto"/>
      </w:pBdr>
      <w:jc w:val="right"/>
      <w:rPr>
        <w:b/>
      </w:rPr>
    </w:pPr>
    <w:r w:rsidRPr="00FD382C">
      <w:rPr>
        <w:b/>
      </w:rPr>
      <w:t>COMUNICADO DE PRENSA</w:t>
    </w:r>
  </w:p>
  <w:p w14:paraId="6D6598B1" w14:textId="3DEB9B94" w:rsidR="002C3DCB" w:rsidRDefault="002C3DCB" w:rsidP="009858E3">
    <w:pPr>
      <w:pStyle w:val="Encabezado"/>
      <w:pBdr>
        <w:bottom w:val="single" w:sz="4" w:space="1" w:color="auto"/>
      </w:pBdr>
      <w:rPr>
        <w:b/>
      </w:rPr>
    </w:pPr>
    <w:r w:rsidRPr="00FD382C">
      <w:rPr>
        <w:b/>
      </w:rPr>
      <w:tab/>
    </w:r>
    <w:r w:rsidRPr="00FD382C">
      <w:rPr>
        <w:b/>
      </w:rPr>
      <w:tab/>
    </w:r>
    <w:r w:rsidR="00A1369B">
      <w:rPr>
        <w:b/>
      </w:rPr>
      <w:t>Jueves 29</w:t>
    </w:r>
    <w:r>
      <w:rPr>
        <w:b/>
      </w:rPr>
      <w:t xml:space="preserve"> de junio de 2017</w:t>
    </w:r>
  </w:p>
  <w:p w14:paraId="6D9F9DFB" w14:textId="77777777" w:rsidR="002C3DCB" w:rsidRPr="00FD382C" w:rsidRDefault="002C3DCB"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B159F"/>
    <w:rsid w:val="000C1CF5"/>
    <w:rsid w:val="000C3DDF"/>
    <w:rsid w:val="000D1DA8"/>
    <w:rsid w:val="000D553D"/>
    <w:rsid w:val="000D6BF6"/>
    <w:rsid w:val="000F333C"/>
    <w:rsid w:val="000F3DC9"/>
    <w:rsid w:val="00106FDB"/>
    <w:rsid w:val="001152D3"/>
    <w:rsid w:val="00161F8D"/>
    <w:rsid w:val="0017349B"/>
    <w:rsid w:val="00181717"/>
    <w:rsid w:val="00184005"/>
    <w:rsid w:val="00196290"/>
    <w:rsid w:val="001D7E9E"/>
    <w:rsid w:val="001E1087"/>
    <w:rsid w:val="001E2D5F"/>
    <w:rsid w:val="00211790"/>
    <w:rsid w:val="002406D6"/>
    <w:rsid w:val="00242E1D"/>
    <w:rsid w:val="00252772"/>
    <w:rsid w:val="00265A30"/>
    <w:rsid w:val="00271B88"/>
    <w:rsid w:val="002B5C3A"/>
    <w:rsid w:val="002C1CD9"/>
    <w:rsid w:val="002C3DCB"/>
    <w:rsid w:val="002C5E7D"/>
    <w:rsid w:val="002D141C"/>
    <w:rsid w:val="002E1BFC"/>
    <w:rsid w:val="00303081"/>
    <w:rsid w:val="00332EC7"/>
    <w:rsid w:val="003404EF"/>
    <w:rsid w:val="0035639B"/>
    <w:rsid w:val="00364B35"/>
    <w:rsid w:val="0036723F"/>
    <w:rsid w:val="00367E30"/>
    <w:rsid w:val="00385B98"/>
    <w:rsid w:val="003A0DBE"/>
    <w:rsid w:val="003A4D71"/>
    <w:rsid w:val="003B0C64"/>
    <w:rsid w:val="003C4894"/>
    <w:rsid w:val="003D02FA"/>
    <w:rsid w:val="003D15B6"/>
    <w:rsid w:val="003D3765"/>
    <w:rsid w:val="003E14B0"/>
    <w:rsid w:val="003E7430"/>
    <w:rsid w:val="003F334D"/>
    <w:rsid w:val="003F35F6"/>
    <w:rsid w:val="00404CEA"/>
    <w:rsid w:val="00427615"/>
    <w:rsid w:val="00457BCD"/>
    <w:rsid w:val="0046773A"/>
    <w:rsid w:val="004830B6"/>
    <w:rsid w:val="004843DA"/>
    <w:rsid w:val="00484BF8"/>
    <w:rsid w:val="004942E1"/>
    <w:rsid w:val="004D351E"/>
    <w:rsid w:val="004D3E92"/>
    <w:rsid w:val="004D4205"/>
    <w:rsid w:val="004E6E42"/>
    <w:rsid w:val="004F66A2"/>
    <w:rsid w:val="005305FC"/>
    <w:rsid w:val="00553922"/>
    <w:rsid w:val="00563030"/>
    <w:rsid w:val="00574797"/>
    <w:rsid w:val="005B01F2"/>
    <w:rsid w:val="005B1CCB"/>
    <w:rsid w:val="005B279E"/>
    <w:rsid w:val="005B3F73"/>
    <w:rsid w:val="005F17F7"/>
    <w:rsid w:val="006022DC"/>
    <w:rsid w:val="00625D82"/>
    <w:rsid w:val="00634709"/>
    <w:rsid w:val="00643409"/>
    <w:rsid w:val="00650542"/>
    <w:rsid w:val="006717A5"/>
    <w:rsid w:val="00696BDD"/>
    <w:rsid w:val="006A4494"/>
    <w:rsid w:val="006A7C49"/>
    <w:rsid w:val="006E0442"/>
    <w:rsid w:val="006E4FFE"/>
    <w:rsid w:val="006E6197"/>
    <w:rsid w:val="006F36F7"/>
    <w:rsid w:val="006F6C40"/>
    <w:rsid w:val="0073400A"/>
    <w:rsid w:val="00750625"/>
    <w:rsid w:val="00756B18"/>
    <w:rsid w:val="00773FDD"/>
    <w:rsid w:val="00774921"/>
    <w:rsid w:val="007B3621"/>
    <w:rsid w:val="007C4E85"/>
    <w:rsid w:val="008161A3"/>
    <w:rsid w:val="00821C31"/>
    <w:rsid w:val="00826557"/>
    <w:rsid w:val="00842993"/>
    <w:rsid w:val="0088217E"/>
    <w:rsid w:val="00884744"/>
    <w:rsid w:val="0089072C"/>
    <w:rsid w:val="00895DCC"/>
    <w:rsid w:val="008B14B4"/>
    <w:rsid w:val="008B72D9"/>
    <w:rsid w:val="00901177"/>
    <w:rsid w:val="009070A6"/>
    <w:rsid w:val="009265AF"/>
    <w:rsid w:val="009303C5"/>
    <w:rsid w:val="00982E0D"/>
    <w:rsid w:val="009858E3"/>
    <w:rsid w:val="009C4049"/>
    <w:rsid w:val="009C6BC2"/>
    <w:rsid w:val="009E3CDD"/>
    <w:rsid w:val="00A12283"/>
    <w:rsid w:val="00A1369B"/>
    <w:rsid w:val="00A148ED"/>
    <w:rsid w:val="00A17581"/>
    <w:rsid w:val="00A41280"/>
    <w:rsid w:val="00A71A63"/>
    <w:rsid w:val="00A729EA"/>
    <w:rsid w:val="00A83B60"/>
    <w:rsid w:val="00A86A9B"/>
    <w:rsid w:val="00AA4471"/>
    <w:rsid w:val="00AB3F6D"/>
    <w:rsid w:val="00AB79C6"/>
    <w:rsid w:val="00AB7EAD"/>
    <w:rsid w:val="00AC41DA"/>
    <w:rsid w:val="00AC7932"/>
    <w:rsid w:val="00AD51A3"/>
    <w:rsid w:val="00AE152A"/>
    <w:rsid w:val="00AE5679"/>
    <w:rsid w:val="00B0351E"/>
    <w:rsid w:val="00B3402A"/>
    <w:rsid w:val="00B41AFC"/>
    <w:rsid w:val="00BA7A93"/>
    <w:rsid w:val="00BE4A8E"/>
    <w:rsid w:val="00BF1779"/>
    <w:rsid w:val="00C005EA"/>
    <w:rsid w:val="00C078C2"/>
    <w:rsid w:val="00C2062A"/>
    <w:rsid w:val="00C5279C"/>
    <w:rsid w:val="00C547FE"/>
    <w:rsid w:val="00C708EE"/>
    <w:rsid w:val="00C742BA"/>
    <w:rsid w:val="00C8471D"/>
    <w:rsid w:val="00CA4C34"/>
    <w:rsid w:val="00CB5765"/>
    <w:rsid w:val="00CF3270"/>
    <w:rsid w:val="00CF66DC"/>
    <w:rsid w:val="00D02BB0"/>
    <w:rsid w:val="00D2135A"/>
    <w:rsid w:val="00D2557C"/>
    <w:rsid w:val="00D347ED"/>
    <w:rsid w:val="00D36F50"/>
    <w:rsid w:val="00D42C6C"/>
    <w:rsid w:val="00DB1263"/>
    <w:rsid w:val="00DD47CC"/>
    <w:rsid w:val="00DE53E5"/>
    <w:rsid w:val="00E0320F"/>
    <w:rsid w:val="00E305E8"/>
    <w:rsid w:val="00E36BEB"/>
    <w:rsid w:val="00E43884"/>
    <w:rsid w:val="00E57CA1"/>
    <w:rsid w:val="00E660DE"/>
    <w:rsid w:val="00E8098C"/>
    <w:rsid w:val="00E80F2B"/>
    <w:rsid w:val="00E810F9"/>
    <w:rsid w:val="00EA72CD"/>
    <w:rsid w:val="00EB4FB2"/>
    <w:rsid w:val="00EC0FC2"/>
    <w:rsid w:val="00EC15C7"/>
    <w:rsid w:val="00ED60A3"/>
    <w:rsid w:val="00EE51F5"/>
    <w:rsid w:val="00EE656D"/>
    <w:rsid w:val="00EF38DA"/>
    <w:rsid w:val="00F033B3"/>
    <w:rsid w:val="00F41C39"/>
    <w:rsid w:val="00F7324B"/>
    <w:rsid w:val="00F849F9"/>
    <w:rsid w:val="00F86774"/>
    <w:rsid w:val="00F9221C"/>
    <w:rsid w:val="00FB3D8B"/>
    <w:rsid w:val="00FB5931"/>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56556031">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0FC7-732B-485F-871B-552D5533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1774</Words>
  <Characters>9763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Superintendencia de Casinos de Juego</cp:lastModifiedBy>
  <cp:revision>6</cp:revision>
  <cp:lastPrinted>2017-03-23T20:24:00Z</cp:lastPrinted>
  <dcterms:created xsi:type="dcterms:W3CDTF">2017-06-29T16:23:00Z</dcterms:created>
  <dcterms:modified xsi:type="dcterms:W3CDTF">2017-06-29T17:26:00Z</dcterms:modified>
</cp:coreProperties>
</file>