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C901A" w14:textId="77777777" w:rsidR="007C0C33" w:rsidRDefault="007C0C33" w:rsidP="005009EC">
      <w:pPr>
        <w:jc w:val="center"/>
        <w:rPr>
          <w:b/>
          <w:sz w:val="32"/>
          <w:szCs w:val="32"/>
        </w:rPr>
      </w:pPr>
    </w:p>
    <w:p w14:paraId="58E0742E" w14:textId="79F17707" w:rsidR="005009EC" w:rsidRPr="00297541" w:rsidRDefault="005009EC" w:rsidP="005009EC">
      <w:pPr>
        <w:jc w:val="center"/>
        <w:rPr>
          <w:b/>
          <w:sz w:val="32"/>
          <w:szCs w:val="32"/>
        </w:rPr>
      </w:pPr>
      <w:r w:rsidRPr="00297541">
        <w:rPr>
          <w:b/>
          <w:sz w:val="32"/>
          <w:szCs w:val="32"/>
        </w:rPr>
        <w:t>Casinos de juego autorizados por la Ley Nº 19.995 generan</w:t>
      </w:r>
      <w:r w:rsidR="00463682" w:rsidRPr="00297541">
        <w:rPr>
          <w:b/>
          <w:sz w:val="32"/>
          <w:szCs w:val="32"/>
        </w:rPr>
        <w:t xml:space="preserve"> </w:t>
      </w:r>
      <w:r w:rsidRPr="00297541">
        <w:rPr>
          <w:b/>
          <w:sz w:val="32"/>
          <w:szCs w:val="32"/>
        </w:rPr>
        <w:br/>
        <w:t>recaudación tributaria de $</w:t>
      </w:r>
      <w:r w:rsidR="00AC4663" w:rsidRPr="00297541">
        <w:rPr>
          <w:b/>
          <w:sz w:val="32"/>
          <w:szCs w:val="32"/>
        </w:rPr>
        <w:t xml:space="preserve"> </w:t>
      </w:r>
      <w:r w:rsidRPr="00297541">
        <w:rPr>
          <w:b/>
          <w:sz w:val="32"/>
          <w:szCs w:val="32"/>
        </w:rPr>
        <w:t>11</w:t>
      </w:r>
      <w:r w:rsidR="003A54EC">
        <w:rPr>
          <w:b/>
          <w:sz w:val="32"/>
          <w:szCs w:val="32"/>
        </w:rPr>
        <w:t>7</w:t>
      </w:r>
      <w:r w:rsidRPr="00297541">
        <w:rPr>
          <w:b/>
          <w:sz w:val="32"/>
          <w:szCs w:val="32"/>
        </w:rPr>
        <w:t>.516 millones en doce meses</w:t>
      </w:r>
    </w:p>
    <w:p w14:paraId="5A08DB2C" w14:textId="2AC1843B" w:rsidR="00463682" w:rsidRDefault="00463682" w:rsidP="005009EC"/>
    <w:p w14:paraId="20CD0506" w14:textId="554FCDCC" w:rsidR="00463682" w:rsidRPr="007C0C33" w:rsidRDefault="005009EC" w:rsidP="007C0C33">
      <w:pPr>
        <w:pStyle w:val="Prrafodelista"/>
        <w:numPr>
          <w:ilvl w:val="0"/>
          <w:numId w:val="2"/>
        </w:numPr>
        <w:ind w:left="284" w:hanging="284"/>
        <w:jc w:val="both"/>
        <w:rPr>
          <w:b/>
          <w:i/>
        </w:rPr>
      </w:pPr>
      <w:r w:rsidRPr="007C0C33">
        <w:rPr>
          <w:b/>
          <w:i/>
        </w:rPr>
        <w:t>E</w:t>
      </w:r>
      <w:r w:rsidR="00463682" w:rsidRPr="007C0C33">
        <w:rPr>
          <w:b/>
          <w:i/>
        </w:rPr>
        <w:t xml:space="preserve">ntre diciembre de 2016 y noviembre de 2017 </w:t>
      </w:r>
      <w:r w:rsidRPr="007C0C33">
        <w:rPr>
          <w:b/>
          <w:i/>
        </w:rPr>
        <w:t xml:space="preserve">los 18 casinos de juego en funcionamiento en el país –sin contar a los siete casinos de concesión municipal- destinaron un </w:t>
      </w:r>
      <w:r w:rsidR="00D54D01" w:rsidRPr="007C0C33">
        <w:rPr>
          <w:b/>
          <w:i/>
        </w:rPr>
        <w:t>43</w:t>
      </w:r>
      <w:r w:rsidRPr="007C0C33">
        <w:rPr>
          <w:b/>
          <w:i/>
        </w:rPr>
        <w:t>% de sus impuestos al patrimonio de los gobiernos regionales y municip</w:t>
      </w:r>
      <w:r w:rsidR="00D54D01" w:rsidRPr="007C0C33">
        <w:rPr>
          <w:b/>
          <w:i/>
        </w:rPr>
        <w:t>alidades en donde operan y un 57</w:t>
      </w:r>
      <w:r w:rsidRPr="007C0C33">
        <w:rPr>
          <w:b/>
          <w:i/>
        </w:rPr>
        <w:t xml:space="preserve"> por ciento a fondos generales de la nación.</w:t>
      </w:r>
    </w:p>
    <w:p w14:paraId="146459F8" w14:textId="0DFB25F1" w:rsidR="005009EC" w:rsidRDefault="005009EC" w:rsidP="004E23D0">
      <w:pPr>
        <w:jc w:val="both"/>
      </w:pPr>
    </w:p>
    <w:p w14:paraId="76EB58F4" w14:textId="269E8B0C" w:rsidR="007C0C33" w:rsidRDefault="007C0C33" w:rsidP="004E23D0">
      <w:pPr>
        <w:jc w:val="both"/>
      </w:pPr>
      <w:r>
        <w:t>Santiago 11 de enero de 2018.</w:t>
      </w:r>
    </w:p>
    <w:p w14:paraId="2B4916AA" w14:textId="6972553F" w:rsidR="007C0C33" w:rsidRDefault="00080E53" w:rsidP="004E23D0">
      <w:pPr>
        <w:jc w:val="both"/>
      </w:pPr>
      <w:r>
        <w:rPr>
          <w:noProof/>
        </w:rPr>
        <w:drawing>
          <wp:inline distT="0" distB="0" distL="0" distR="0" wp14:anchorId="0E33756B" wp14:editId="76A0CF2E">
            <wp:extent cx="5612130" cy="3910914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3098" w14:textId="607E27D6" w:rsidR="00947E05" w:rsidRDefault="00947E05" w:rsidP="004E23D0">
      <w:pPr>
        <w:jc w:val="both"/>
      </w:pPr>
    </w:p>
    <w:p w14:paraId="62CB16CE" w14:textId="016B38DC" w:rsidR="00947E05" w:rsidRDefault="00947E05" w:rsidP="004E23D0">
      <w:pPr>
        <w:jc w:val="both"/>
      </w:pPr>
      <w:r>
        <w:rPr>
          <w:noProof/>
        </w:rPr>
        <w:lastRenderedPageBreak/>
        <w:drawing>
          <wp:inline distT="0" distB="0" distL="0" distR="0" wp14:anchorId="107D051F" wp14:editId="30045513">
            <wp:extent cx="5612130" cy="3460177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D5E9" w14:textId="77777777" w:rsidR="00947E05" w:rsidRDefault="00947E05" w:rsidP="004E23D0">
      <w:pPr>
        <w:jc w:val="both"/>
      </w:pPr>
    </w:p>
    <w:p w14:paraId="606057F8" w14:textId="4FE7EE71" w:rsidR="00027BC7" w:rsidRPr="00297541" w:rsidRDefault="005009EC" w:rsidP="004E23D0">
      <w:pPr>
        <w:jc w:val="both"/>
      </w:pPr>
      <w:r>
        <w:t>En el marco del Seminario “Jugados por el Desarrollo</w:t>
      </w:r>
      <w:r w:rsidR="00297541">
        <w:t xml:space="preserve">: </w:t>
      </w:r>
      <w:r w:rsidR="00297541" w:rsidRPr="00297541">
        <w:t>El aporte público de los juegos de azar en las industrias reguladas</w:t>
      </w:r>
      <w:r w:rsidR="00297541">
        <w:t>”</w:t>
      </w:r>
      <w:r>
        <w:t xml:space="preserve">, la Superintendencia de Casinos de Juego informó este jueves cifras de recaudación tributaria de los casinos de juego </w:t>
      </w:r>
      <w:r w:rsidR="00D54D01">
        <w:t xml:space="preserve">autorizados por la Ley Nº19.995 </w:t>
      </w:r>
      <w:r>
        <w:t>en doce meses.</w:t>
      </w:r>
      <w:r w:rsidR="00D54D01">
        <w:t xml:space="preserve"> De los $</w:t>
      </w:r>
      <w:r w:rsidR="00AC4663">
        <w:t xml:space="preserve"> </w:t>
      </w:r>
      <w:r w:rsidR="00D54D01">
        <w:t>11</w:t>
      </w:r>
      <w:r w:rsidR="003A54EC">
        <w:t>7</w:t>
      </w:r>
      <w:bookmarkStart w:id="0" w:name="_GoBack"/>
      <w:bookmarkEnd w:id="0"/>
      <w:r w:rsidR="00D54D01">
        <w:t>.516 millones del total de impuestos</w:t>
      </w:r>
      <w:r w:rsidR="004E23D0">
        <w:t xml:space="preserve"> generados entre diciembre de 2016 y noviembre de 2017</w:t>
      </w:r>
      <w:r w:rsidR="00D54D01">
        <w:t>, $</w:t>
      </w:r>
      <w:r w:rsidR="00AC4663">
        <w:t xml:space="preserve"> </w:t>
      </w:r>
      <w:r w:rsidR="00D54D01">
        <w:rPr>
          <w:lang w:val="es-CL"/>
        </w:rPr>
        <w:t>50</w:t>
      </w:r>
      <w:r w:rsidR="00D54D01" w:rsidRPr="00D54D01">
        <w:rPr>
          <w:lang w:val="es-CL"/>
        </w:rPr>
        <w:t>.451 millones</w:t>
      </w:r>
      <w:r w:rsidR="00D54D01">
        <w:rPr>
          <w:lang w:val="es-CL"/>
        </w:rPr>
        <w:t xml:space="preserve"> corresponden al impuesto específico</w:t>
      </w:r>
      <w:r w:rsidR="002F769D">
        <w:rPr>
          <w:lang w:val="es-CL"/>
        </w:rPr>
        <w:t xml:space="preserve"> </w:t>
      </w:r>
      <w:r w:rsidR="002F769D" w:rsidRPr="002F769D">
        <w:rPr>
          <w:lang w:val="es-CL"/>
        </w:rPr>
        <w:t>destinados a los Gobiernos Regionales y Municipalidades en donde operan</w:t>
      </w:r>
      <w:r w:rsidR="00311952">
        <w:rPr>
          <w:rStyle w:val="Refdenotaalpie"/>
          <w:lang w:val="es-CL"/>
        </w:rPr>
        <w:footnoteReference w:id="1"/>
      </w:r>
      <w:r w:rsidR="00D54D01">
        <w:rPr>
          <w:lang w:val="es-CL"/>
        </w:rPr>
        <w:t xml:space="preserve">, además de la suma de </w:t>
      </w:r>
      <w:r w:rsidR="004E23D0">
        <w:rPr>
          <w:lang w:val="es-CL"/>
        </w:rPr>
        <w:t>$</w:t>
      </w:r>
      <w:r w:rsidR="00AC4663">
        <w:rPr>
          <w:lang w:val="es-CL"/>
        </w:rPr>
        <w:t xml:space="preserve"> </w:t>
      </w:r>
      <w:r w:rsidR="00D54D01" w:rsidRPr="00D54D01">
        <w:rPr>
          <w:lang w:val="es-CL"/>
        </w:rPr>
        <w:t>49.565 millones</w:t>
      </w:r>
      <w:r w:rsidR="00D54D01">
        <w:rPr>
          <w:lang w:val="es-CL"/>
        </w:rPr>
        <w:t xml:space="preserve"> asociados al pago de IVA y </w:t>
      </w:r>
      <w:r w:rsidR="004E23D0">
        <w:rPr>
          <w:lang w:val="es-CL"/>
        </w:rPr>
        <w:t>$</w:t>
      </w:r>
      <w:r w:rsidR="00AC4663">
        <w:rPr>
          <w:lang w:val="es-CL"/>
        </w:rPr>
        <w:t xml:space="preserve"> </w:t>
      </w:r>
      <w:r w:rsidR="00D54D01" w:rsidRPr="00D54D01">
        <w:rPr>
          <w:lang w:val="es-CL"/>
        </w:rPr>
        <w:t>17.501 millones</w:t>
      </w:r>
      <w:r w:rsidR="00D54D01">
        <w:rPr>
          <w:lang w:val="es-CL"/>
        </w:rPr>
        <w:t xml:space="preserve"> en impuesto por entrada a las salas de juego, que se destinan a fondos generales de la nación.</w:t>
      </w:r>
      <w:r w:rsidR="000B58BF">
        <w:rPr>
          <w:lang w:val="es-CL"/>
        </w:rPr>
        <w:t xml:space="preserve"> La recaudación tributaria total en doce meses representa un aumento de 0,3 por ciento en relación al período diciembre 2015 a noviembre de 2016.</w:t>
      </w:r>
    </w:p>
    <w:p w14:paraId="30AF16AC" w14:textId="77777777" w:rsidR="00D54D01" w:rsidRDefault="00D54D01">
      <w:pPr>
        <w:rPr>
          <w:lang w:val="es-CL"/>
        </w:rPr>
      </w:pPr>
    </w:p>
    <w:p w14:paraId="117E730E" w14:textId="4D52EC67" w:rsidR="00D759DF" w:rsidRDefault="00D759DF" w:rsidP="004E23D0">
      <w:pPr>
        <w:jc w:val="both"/>
        <w:rPr>
          <w:lang w:val="es-CL"/>
        </w:rPr>
      </w:pPr>
      <w:r>
        <w:rPr>
          <w:lang w:val="es-CL"/>
        </w:rPr>
        <w:t xml:space="preserve">En tanto, los ingresos brutos de la industria de casinos de juego, conformada por los 18 casinos de juego </w:t>
      </w:r>
      <w:r w:rsidR="004E23D0" w:rsidRPr="004E23D0">
        <w:rPr>
          <w:lang w:val="es-CL"/>
        </w:rPr>
        <w:t xml:space="preserve">autorizados por la Ley Nº 19.995 </w:t>
      </w:r>
      <w:r>
        <w:rPr>
          <w:lang w:val="es-CL"/>
        </w:rPr>
        <w:t>y los siete casinos de conc</w:t>
      </w:r>
      <w:r w:rsidR="00AC4663">
        <w:rPr>
          <w:lang w:val="es-CL"/>
        </w:rPr>
        <w:t>esión municipal, registró en do</w:t>
      </w:r>
      <w:r>
        <w:rPr>
          <w:lang w:val="es-CL"/>
        </w:rPr>
        <w:t>ce meses ingresos brutos del juego (win) por $</w:t>
      </w:r>
      <w:r w:rsidR="00AC4663">
        <w:rPr>
          <w:lang w:val="es-CL"/>
        </w:rPr>
        <w:t xml:space="preserve"> </w:t>
      </w:r>
      <w:r w:rsidR="004E23D0">
        <w:rPr>
          <w:lang w:val="es-CL"/>
        </w:rPr>
        <w:t xml:space="preserve">455.691 </w:t>
      </w:r>
      <w:r>
        <w:rPr>
          <w:lang w:val="es-CL"/>
        </w:rPr>
        <w:t>millones</w:t>
      </w:r>
      <w:r w:rsidR="00673201">
        <w:rPr>
          <w:lang w:val="es-CL"/>
        </w:rPr>
        <w:t>.</w:t>
      </w:r>
    </w:p>
    <w:p w14:paraId="3E245556" w14:textId="77777777" w:rsidR="00DA3187" w:rsidRDefault="00DA3187" w:rsidP="004E23D0">
      <w:pPr>
        <w:jc w:val="both"/>
        <w:rPr>
          <w:lang w:val="es-CL"/>
        </w:rPr>
      </w:pPr>
    </w:p>
    <w:p w14:paraId="58DB8F4B" w14:textId="127DF5B8" w:rsidR="009A5490" w:rsidRPr="009A5490" w:rsidRDefault="00275006" w:rsidP="009A5490">
      <w:pPr>
        <w:jc w:val="both"/>
        <w:rPr>
          <w:color w:val="000000" w:themeColor="text1"/>
          <w:lang w:val="es-ES"/>
        </w:rPr>
      </w:pPr>
      <w:r w:rsidRPr="009A5490">
        <w:rPr>
          <w:lang w:val="es-CL"/>
        </w:rPr>
        <w:t xml:space="preserve">Al presentar las cifras, la Superintendenta de Casinos de Juego, Vivien Villagrán, expresó que </w:t>
      </w:r>
      <w:r w:rsidR="009A5490" w:rsidRPr="009A5490">
        <w:rPr>
          <w:color w:val="000000" w:themeColor="text1"/>
          <w:lang w:val="es-ES"/>
        </w:rPr>
        <w:t>“</w:t>
      </w:r>
      <w:r w:rsidR="009A5490" w:rsidRPr="007C0C33">
        <w:rPr>
          <w:i/>
          <w:color w:val="000000" w:themeColor="text1"/>
          <w:lang w:val="es-ES"/>
        </w:rPr>
        <w:t xml:space="preserve">esta la única industria nacional que destina parte de sus impuestos al desarrollo territorial al introducir recursos directos tanto al presupuesto regional como al presupuesto municipal. </w:t>
      </w:r>
      <w:r w:rsidR="009A5490" w:rsidRPr="007C0C33">
        <w:rPr>
          <w:rFonts w:eastAsia="Times New Roman" w:cstheme="minorHAnsi"/>
          <w:i/>
          <w:color w:val="000000" w:themeColor="text1"/>
          <w:lang w:val="es-ES" w:eastAsia="es-CL"/>
        </w:rPr>
        <w:t xml:space="preserve">Los casinos autorizados por la Ley Nº 19.995, pagan un impuesto específico del </w:t>
      </w:r>
      <w:r w:rsidR="009A5490" w:rsidRPr="007C0C33">
        <w:rPr>
          <w:rFonts w:eastAsia="Times New Roman" w:cstheme="minorHAnsi"/>
          <w:i/>
          <w:color w:val="000000" w:themeColor="text1"/>
          <w:lang w:val="es-ES" w:eastAsia="es-CL"/>
        </w:rPr>
        <w:lastRenderedPageBreak/>
        <w:t>20% de los ingresos brutos del juego. La mitad se destina a la Municipalidad en que se emplazan, y la otra mitad al Gobierno Regional, para ser utilizados en el financiamiento de obras de desarrollo, lo que se traduce en beneficios para todos sus habit</w:t>
      </w:r>
      <w:r w:rsidR="00A475B3" w:rsidRPr="007C0C33">
        <w:rPr>
          <w:rFonts w:eastAsia="Times New Roman" w:cstheme="minorHAnsi"/>
          <w:i/>
          <w:color w:val="000000" w:themeColor="text1"/>
          <w:lang w:val="es-ES" w:eastAsia="es-CL"/>
        </w:rPr>
        <w:t>antes</w:t>
      </w:r>
      <w:r w:rsidR="00A475B3">
        <w:rPr>
          <w:rFonts w:eastAsia="Times New Roman" w:cstheme="minorHAnsi"/>
          <w:color w:val="000000" w:themeColor="text1"/>
          <w:lang w:val="es-ES" w:eastAsia="es-CL"/>
        </w:rPr>
        <w:t>”. En este sentido, destacó la importancia del Seminario, el primero de este tipo en nuestro país.</w:t>
      </w:r>
    </w:p>
    <w:p w14:paraId="20CB7D53" w14:textId="77777777" w:rsidR="00275006" w:rsidRDefault="00275006" w:rsidP="004E23D0">
      <w:pPr>
        <w:jc w:val="both"/>
        <w:rPr>
          <w:lang w:val="es-CL"/>
        </w:rPr>
      </w:pPr>
    </w:p>
    <w:p w14:paraId="066854F7" w14:textId="2ABC154C" w:rsidR="00297541" w:rsidRPr="00DF6DC6" w:rsidRDefault="00297541" w:rsidP="00297541">
      <w:pPr>
        <w:jc w:val="both"/>
      </w:pPr>
      <w:r w:rsidRPr="00DF6DC6">
        <w:rPr>
          <w:lang w:val="es-CL"/>
        </w:rPr>
        <w:t xml:space="preserve">Durante la jornada se desarrolló el panel </w:t>
      </w:r>
      <w:r w:rsidR="00DE4B06">
        <w:rPr>
          <w:lang w:val="es-CL"/>
        </w:rPr>
        <w:t>“</w:t>
      </w:r>
      <w:r w:rsidRPr="00DF6DC6">
        <w:t>Industria de casinos de juego y desarrollo estratégico territorial</w:t>
      </w:r>
      <w:r w:rsidR="00DE4B06">
        <w:t>”</w:t>
      </w:r>
      <w:r w:rsidRPr="00DF6DC6">
        <w:t xml:space="preserve">, con la participación de la Subsecretaria de Turismo, Javiera Montes; la </w:t>
      </w:r>
      <w:proofErr w:type="gramStart"/>
      <w:r w:rsidRPr="00DF6DC6">
        <w:t>Alcaldesa</w:t>
      </w:r>
      <w:proofErr w:type="gramEnd"/>
      <w:r w:rsidRPr="00DF6DC6">
        <w:t xml:space="preserve"> de la I. Municipalidad de Viña del Mar, Virginia </w:t>
      </w:r>
      <w:proofErr w:type="spellStart"/>
      <w:r w:rsidRPr="00DF6DC6">
        <w:t>Reginato</w:t>
      </w:r>
      <w:proofErr w:type="spellEnd"/>
      <w:r w:rsidRPr="00DF6DC6">
        <w:t>; el consejero del Consejo Resolutivo de la Superintendencia de Casinos de Juego,</w:t>
      </w:r>
      <w:r w:rsidR="00DE4B06">
        <w:t xml:space="preserve"> Raphael Bergoeing,</w:t>
      </w:r>
      <w:r w:rsidRPr="00DF6DC6">
        <w:t xml:space="preserve"> y </w:t>
      </w:r>
      <w:r w:rsidRPr="00DF6DC6">
        <w:rPr>
          <w:lang w:val="es-CL"/>
        </w:rPr>
        <w:t xml:space="preserve">el </w:t>
      </w:r>
      <w:r w:rsidRPr="00DF6DC6">
        <w:t xml:space="preserve">Gerente de la Asociación Chilena de Casinos de Juego, Rodrigo Guiñez. </w:t>
      </w:r>
    </w:p>
    <w:p w14:paraId="171494B1" w14:textId="77777777" w:rsidR="00297541" w:rsidRDefault="00297541" w:rsidP="00297541">
      <w:pPr>
        <w:jc w:val="both"/>
      </w:pPr>
    </w:p>
    <w:p w14:paraId="0BA94ABA" w14:textId="3D740773" w:rsidR="00297541" w:rsidRPr="00297541" w:rsidRDefault="00297541" w:rsidP="00297541">
      <w:pPr>
        <w:jc w:val="both"/>
      </w:pPr>
      <w:r w:rsidRPr="00297541">
        <w:t>E</w:t>
      </w:r>
      <w:r w:rsidR="00DE4B06">
        <w:t>ntre los temas abordados en el S</w:t>
      </w:r>
      <w:r w:rsidRPr="00297541">
        <w:t xml:space="preserve">eminario se </w:t>
      </w:r>
      <w:bookmarkStart w:id="1" w:name="_Hlk502671143"/>
      <w:r w:rsidRPr="00297541">
        <w:t>abordaron experiencias y modelos internacionales para enfrentar el juego ilegal</w:t>
      </w:r>
      <w:bookmarkEnd w:id="1"/>
      <w:r w:rsidRPr="00297541">
        <w:t>,</w:t>
      </w:r>
      <w:r w:rsidR="00DE66FF" w:rsidRPr="00DE66FF">
        <w:t>así como también acerca de las bases neurobiológicas del juego y sus implicancias sicológicas,  y los juegos de azar desde una mirada del bienestar, entre otros.</w:t>
      </w:r>
    </w:p>
    <w:p w14:paraId="3956AD19" w14:textId="4D3B7631" w:rsidR="00297541" w:rsidRDefault="00297541">
      <w:r>
        <w:tab/>
      </w:r>
      <w:r>
        <w:tab/>
      </w:r>
      <w:r>
        <w:tab/>
      </w:r>
      <w:r>
        <w:tab/>
      </w:r>
    </w:p>
    <w:p w14:paraId="453152E3" w14:textId="7BFBA15D" w:rsidR="00311952" w:rsidRDefault="00311952" w:rsidP="007C0C33">
      <w:pPr>
        <w:ind w:left="-567"/>
      </w:pPr>
      <w:r>
        <w:rPr>
          <w:noProof/>
          <w:lang w:val="es-ES" w:eastAsia="es-ES"/>
        </w:rPr>
        <w:drawing>
          <wp:inline distT="0" distB="0" distL="0" distR="0" wp14:anchorId="7F6A65B7" wp14:editId="71643784">
            <wp:extent cx="6559634" cy="2686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8-01-10 a las 3.50.18 p.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072" cy="26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2519" w14:textId="77777777" w:rsidR="00DA3187" w:rsidRDefault="00DA3187"/>
    <w:p w14:paraId="7AB1C466" w14:textId="77777777" w:rsidR="00935AB9" w:rsidRDefault="003A54EC"/>
    <w:p w14:paraId="3443DF11" w14:textId="77777777" w:rsidR="002F769D" w:rsidRDefault="002F769D"/>
    <w:p w14:paraId="2AD1650C" w14:textId="77777777" w:rsidR="002F769D" w:rsidRDefault="002F769D"/>
    <w:sectPr w:rsidR="002F769D" w:rsidSect="00E8150E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64600" w14:textId="77777777" w:rsidR="0078560D" w:rsidRDefault="0078560D" w:rsidP="00311952">
      <w:r>
        <w:separator/>
      </w:r>
    </w:p>
  </w:endnote>
  <w:endnote w:type="continuationSeparator" w:id="0">
    <w:p w14:paraId="00B5CF8D" w14:textId="77777777" w:rsidR="0078560D" w:rsidRDefault="0078560D" w:rsidP="00311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19D50" w14:textId="77777777" w:rsidR="0078560D" w:rsidRDefault="0078560D" w:rsidP="00311952">
      <w:r>
        <w:separator/>
      </w:r>
    </w:p>
  </w:footnote>
  <w:footnote w:type="continuationSeparator" w:id="0">
    <w:p w14:paraId="4E91441B" w14:textId="77777777" w:rsidR="0078560D" w:rsidRDefault="0078560D" w:rsidP="00311952">
      <w:r>
        <w:continuationSeparator/>
      </w:r>
    </w:p>
  </w:footnote>
  <w:footnote w:id="1">
    <w:p w14:paraId="6C7B68A4" w14:textId="77777777" w:rsidR="00311952" w:rsidRPr="002F769D" w:rsidRDefault="00311952" w:rsidP="00311952">
      <w:pPr>
        <w:rPr>
          <w:rFonts w:ascii="Times New Roman" w:eastAsia="Times New Roman" w:hAnsi="Times New Roman" w:cs="Times New Roman"/>
          <w:lang w:eastAsia="es-ES_tradnl"/>
        </w:rPr>
      </w:pPr>
      <w:r>
        <w:rPr>
          <w:rStyle w:val="Refdenotaalpie"/>
        </w:rPr>
        <w:footnoteRef/>
      </w:r>
      <w:r>
        <w:t xml:space="preserve"> </w:t>
      </w:r>
      <w:r w:rsidRPr="002F769D">
        <w:rPr>
          <w:rFonts w:ascii="Trebuchet MS" w:eastAsia="Times New Roman" w:hAnsi="Trebuchet MS" w:cs="Times New Roman"/>
          <w:color w:val="475465"/>
          <w:sz w:val="17"/>
          <w:szCs w:val="17"/>
          <w:shd w:val="clear" w:color="auto" w:fill="FFFFFF"/>
          <w:lang w:eastAsia="es-ES_tradnl"/>
        </w:rPr>
        <w:t>El impuesto específico se aplica sobre los ingresos brutos obtenidos en la explotación de los juegos autorizados, previa deducción del monto por impuesto al valor agregado (IVA) y el monto para los pagos provisionales mensuales obligatorios (PPM).</w:t>
      </w:r>
    </w:p>
    <w:p w14:paraId="6F701069" w14:textId="5FDAEB22" w:rsidR="00311952" w:rsidRPr="00311952" w:rsidRDefault="00311952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11B56" w14:textId="33B6FC55" w:rsidR="007C0C33" w:rsidRDefault="007C0C33">
    <w:pPr>
      <w:pStyle w:val="Encabezado"/>
    </w:pPr>
    <w:r w:rsidRPr="000F2490">
      <w:rPr>
        <w:noProof/>
        <w:lang w:eastAsia="es-CL"/>
      </w:rPr>
      <w:drawing>
        <wp:inline distT="0" distB="0" distL="0" distR="0" wp14:anchorId="3FE11D3A" wp14:editId="3A2B133C">
          <wp:extent cx="2447925" cy="657225"/>
          <wp:effectExtent l="0" t="0" r="9525" b="9525"/>
          <wp:docPr id="2" name="Imagen 2" descr="SCJ_marca_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CJ_marca_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A3110"/>
    <w:multiLevelType w:val="hybridMultilevel"/>
    <w:tmpl w:val="E8AA49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20ABD"/>
    <w:multiLevelType w:val="hybridMultilevel"/>
    <w:tmpl w:val="638C6EE8"/>
    <w:lvl w:ilvl="0" w:tplc="57002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07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AA5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32C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88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6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A8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8C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84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82"/>
    <w:rsid w:val="00027BC7"/>
    <w:rsid w:val="00042CC2"/>
    <w:rsid w:val="00080E53"/>
    <w:rsid w:val="000B58BF"/>
    <w:rsid w:val="00275006"/>
    <w:rsid w:val="00297541"/>
    <w:rsid w:val="002F769D"/>
    <w:rsid w:val="00311952"/>
    <w:rsid w:val="003A54EC"/>
    <w:rsid w:val="00463682"/>
    <w:rsid w:val="004E23D0"/>
    <w:rsid w:val="005009EC"/>
    <w:rsid w:val="00564DAE"/>
    <w:rsid w:val="00651FFC"/>
    <w:rsid w:val="00673201"/>
    <w:rsid w:val="0078560D"/>
    <w:rsid w:val="007C0C33"/>
    <w:rsid w:val="008A7372"/>
    <w:rsid w:val="00947E05"/>
    <w:rsid w:val="009A5490"/>
    <w:rsid w:val="00A475B3"/>
    <w:rsid w:val="00A8205F"/>
    <w:rsid w:val="00AC4663"/>
    <w:rsid w:val="00AF5294"/>
    <w:rsid w:val="00D54D01"/>
    <w:rsid w:val="00D55833"/>
    <w:rsid w:val="00D759DF"/>
    <w:rsid w:val="00DA3187"/>
    <w:rsid w:val="00DE4B06"/>
    <w:rsid w:val="00DE66FF"/>
    <w:rsid w:val="00DF6DC6"/>
    <w:rsid w:val="00E35586"/>
    <w:rsid w:val="00E8150E"/>
    <w:rsid w:val="00EB522A"/>
    <w:rsid w:val="00EE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004E204"/>
  <w14:defaultImageDpi w14:val="32767"/>
  <w15:docId w15:val="{B27DDE5F-B56F-4F74-8381-DB5FC0A3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5009EC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09E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5009EC"/>
    <w:rPr>
      <w:rFonts w:ascii="Times New Roman" w:hAnsi="Times New Roman" w:cs="Times New Roman"/>
      <w:b/>
      <w:bCs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09EC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027BC7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027BC7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27BC7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311952"/>
  </w:style>
  <w:style w:type="character" w:customStyle="1" w:styleId="TextonotapieCar">
    <w:name w:val="Texto nota pie Car"/>
    <w:basedOn w:val="Fuentedeprrafopredeter"/>
    <w:link w:val="Textonotapie"/>
    <w:uiPriority w:val="99"/>
    <w:rsid w:val="00311952"/>
  </w:style>
  <w:style w:type="character" w:styleId="Refdenotaalpie">
    <w:name w:val="footnote reference"/>
    <w:basedOn w:val="Fuentedeprrafopredeter"/>
    <w:uiPriority w:val="99"/>
    <w:unhideWhenUsed/>
    <w:rsid w:val="0031195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B0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B0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C0C3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0C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C33"/>
  </w:style>
  <w:style w:type="paragraph" w:styleId="Piedepgina">
    <w:name w:val="footer"/>
    <w:basedOn w:val="Normal"/>
    <w:link w:val="PiedepginaCar"/>
    <w:uiPriority w:val="99"/>
    <w:unhideWhenUsed/>
    <w:rsid w:val="007C0C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20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0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6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4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1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6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1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Claudia Valladares Acosta</cp:lastModifiedBy>
  <cp:revision>6</cp:revision>
  <dcterms:created xsi:type="dcterms:W3CDTF">2018-01-10T20:42:00Z</dcterms:created>
  <dcterms:modified xsi:type="dcterms:W3CDTF">2018-01-11T16:23:00Z</dcterms:modified>
</cp:coreProperties>
</file>