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D63FE" w:rsidRPr="00547ABD" w:rsidRDefault="00D065D5" w:rsidP="00547ABD">
      <w:r>
        <w:rPr>
          <w:noProof/>
          <w:lang w:val="es-CL" w:eastAsia="es-CL"/>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-535940</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9034A">
                              <w:rPr>
                                <w:rFonts w:ascii="Calibri" w:hAnsi="Calibri"/>
                                <w:b/>
                                <w:sz w:val="21"/>
                                <w:szCs w:val="21"/>
                                <w:lang w:val="es-CL"/>
                              </w:rPr>
                              <w:t xml:space="preserve"> </w:t>
                            </w:r>
                            <w:r w:rsidR="00107786">
                              <w:rPr>
                                <w:rFonts w:ascii="Calibri" w:hAnsi="Calibri"/>
                                <w:b/>
                                <w:sz w:val="21"/>
                                <w:szCs w:val="21"/>
                                <w:lang w:val="es-CL"/>
                              </w:rPr>
                              <w:t>miércoles 26 de diciembre de 2018</w:t>
                            </w:r>
                          </w:p>
                          <w:p w:rsidR="007C01C3" w:rsidRPr="002E2F19" w:rsidRDefault="007C01C3" w:rsidP="00685B9F">
                            <w:pPr>
                              <w:jc w:val="right"/>
                              <w:rPr>
                                <w:rFonts w:ascii="Calibri" w:hAnsi="Calibri"/>
                                <w:b/>
                                <w:color w:val="767171"/>
                                <w:sz w:val="28"/>
                                <w:szCs w:val="28"/>
                                <w:lang w:val="es-CL"/>
                              </w:rPr>
                            </w:pPr>
                          </w:p>
                          <w:p w:rsidR="007C01C3" w:rsidRPr="002E2F19" w:rsidRDefault="007C01C3" w:rsidP="00685B9F">
                            <w:pPr>
                              <w:jc w:val="right"/>
                              <w:rPr>
                                <w:rFonts w:ascii="Calibri" w:hAnsi="Calibri"/>
                                <w:b/>
                                <w:color w:val="767171"/>
                                <w:sz w:val="28"/>
                                <w:szCs w:val="28"/>
                                <w:lang w:val="es-CL"/>
                              </w:rPr>
                            </w:pPr>
                          </w:p>
                          <w:p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3pt;margin-top:-42.2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" strokecolor="white">
                <v:textbox>
                  <w:txbxContent>
                    <w:p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9034A">
                        <w:rPr>
                          <w:rFonts w:ascii="Calibri" w:hAnsi="Calibri"/>
                          <w:b/>
                          <w:sz w:val="21"/>
                          <w:szCs w:val="21"/>
                          <w:lang w:val="es-CL"/>
                        </w:rPr>
                        <w:t xml:space="preserve"> </w:t>
                      </w:r>
                      <w:r w:rsidR="00107786">
                        <w:rPr>
                          <w:rFonts w:ascii="Calibri" w:hAnsi="Calibri"/>
                          <w:b/>
                          <w:sz w:val="21"/>
                          <w:szCs w:val="21"/>
                          <w:lang w:val="es-CL"/>
                        </w:rPr>
                        <w:t>miércoles 26 de diciembre de 2018</w:t>
                      </w:r>
                    </w:p>
                    <w:p w:rsidR="007C01C3" w:rsidRPr="002E2F19" w:rsidRDefault="007C01C3" w:rsidP="00685B9F">
                      <w:pPr>
                        <w:jc w:val="right"/>
                        <w:rPr>
                          <w:rFonts w:ascii="Calibri" w:hAnsi="Calibri"/>
                          <w:b/>
                          <w:color w:val="767171"/>
                          <w:sz w:val="28"/>
                          <w:szCs w:val="28"/>
                          <w:lang w:val="es-CL"/>
                        </w:rPr>
                      </w:pPr>
                    </w:p>
                    <w:p w:rsidR="007C01C3" w:rsidRPr="002E2F19" w:rsidRDefault="007C01C3" w:rsidP="00685B9F">
                      <w:pPr>
                        <w:jc w:val="right"/>
                        <w:rPr>
                          <w:rFonts w:ascii="Calibri" w:hAnsi="Calibri"/>
                          <w:b/>
                          <w:color w:val="767171"/>
                          <w:sz w:val="28"/>
                          <w:szCs w:val="28"/>
                          <w:lang w:val="es-CL"/>
                        </w:rPr>
                      </w:pPr>
                    </w:p>
                    <w:p w:rsidR="007C01C3" w:rsidRPr="002E2F19" w:rsidRDefault="007C01C3" w:rsidP="00685B9F">
                      <w:pPr>
                        <w:rPr>
                          <w:color w:val="767171"/>
                        </w:rPr>
                      </w:pPr>
                    </w:p>
                  </w:txbxContent>
                </v:textbox>
                <w10:wrap anchorx="margin"/>
              </v:shape>
            </w:pict>
          </mc:Fallback>
        </mc:AlternateContent>
      </w:r>
    </w:p>
    <w:p w:rsidR="00107786" w:rsidRDefault="00107786" w:rsidP="00B21D6F">
      <w:pPr>
        <w:jc w:val="both"/>
        <w:rPr>
          <w:rFonts w:ascii="Calibri" w:hAnsi="Calibri" w:cs="Arial"/>
          <w:b/>
          <w:szCs w:val="35"/>
        </w:rPr>
      </w:pPr>
    </w:p>
    <w:p w:rsidR="0080717E" w:rsidRDefault="00954F2D" w:rsidP="00B21D6F">
      <w:pPr>
        <w:jc w:val="both"/>
        <w:rPr>
          <w:rFonts w:ascii="Calibri" w:hAnsi="Calibri" w:cs="Arial"/>
          <w:b/>
          <w:sz w:val="35"/>
          <w:szCs w:val="35"/>
        </w:rPr>
      </w:pPr>
      <w:r>
        <w:rPr>
          <w:rFonts w:ascii="Calibri" w:hAnsi="Calibri" w:cs="Arial"/>
          <w:b/>
          <w:sz w:val="35"/>
          <w:szCs w:val="35"/>
        </w:rPr>
        <w:t xml:space="preserve">Superintendencia </w:t>
      </w:r>
      <w:r w:rsidR="002F08AF">
        <w:rPr>
          <w:rFonts w:ascii="Calibri" w:hAnsi="Calibri" w:cs="Arial"/>
          <w:b/>
          <w:sz w:val="35"/>
          <w:szCs w:val="35"/>
        </w:rPr>
        <w:t xml:space="preserve">inicia </w:t>
      </w:r>
      <w:r w:rsidR="00222133">
        <w:rPr>
          <w:rFonts w:ascii="Calibri" w:hAnsi="Calibri" w:cs="Arial"/>
          <w:b/>
          <w:sz w:val="35"/>
          <w:szCs w:val="35"/>
        </w:rPr>
        <w:t xml:space="preserve">proceso de otorgamiento de </w:t>
      </w:r>
      <w:r w:rsidR="00107786">
        <w:rPr>
          <w:rFonts w:ascii="Calibri" w:hAnsi="Calibri" w:cs="Arial"/>
          <w:b/>
          <w:sz w:val="35"/>
          <w:szCs w:val="35"/>
        </w:rPr>
        <w:t>permiso</w:t>
      </w:r>
      <w:r w:rsidR="002F08AF">
        <w:rPr>
          <w:rFonts w:ascii="Calibri" w:hAnsi="Calibri" w:cs="Arial"/>
          <w:b/>
          <w:sz w:val="35"/>
          <w:szCs w:val="35"/>
        </w:rPr>
        <w:t xml:space="preserve"> de operación para </w:t>
      </w:r>
      <w:r w:rsidR="00107786">
        <w:rPr>
          <w:rFonts w:ascii="Calibri" w:hAnsi="Calibri" w:cs="Arial"/>
          <w:b/>
          <w:sz w:val="35"/>
          <w:szCs w:val="35"/>
        </w:rPr>
        <w:t>casino de juego en la comuna de Natales</w:t>
      </w:r>
    </w:p>
    <w:p w:rsidR="00F013C4" w:rsidRPr="00BF7B6B" w:rsidRDefault="00F013C4" w:rsidP="00F013C4">
      <w:pPr>
        <w:pStyle w:val="Listavistosa-nfasis11"/>
        <w:jc w:val="both"/>
        <w:rPr>
          <w:rFonts w:ascii="Calibri" w:hAnsi="Calibri" w:cs="Calibri"/>
          <w:b/>
          <w:sz w:val="21"/>
          <w:szCs w:val="21"/>
        </w:rPr>
      </w:pPr>
    </w:p>
    <w:p w:rsidR="003531CD" w:rsidRPr="00BF7B6B" w:rsidRDefault="00BF7B6B" w:rsidP="003634FC">
      <w:pPr>
        <w:pStyle w:val="Prrafodelista"/>
        <w:numPr>
          <w:ilvl w:val="0"/>
          <w:numId w:val="10"/>
        </w:numPr>
        <w:jc w:val="both"/>
        <w:rPr>
          <w:rFonts w:ascii="Calibri" w:hAnsi="Calibri" w:cs="Calibri"/>
          <w:b/>
          <w:sz w:val="21"/>
          <w:szCs w:val="21"/>
        </w:rPr>
      </w:pPr>
      <w:r w:rsidRPr="00BF7B6B">
        <w:rPr>
          <w:rFonts w:ascii="Calibri" w:hAnsi="Calibri" w:cs="Calibri"/>
          <w:b/>
          <w:sz w:val="21"/>
          <w:szCs w:val="21"/>
        </w:rPr>
        <w:t xml:space="preserve">Las bases se encuentran disponibles en el sitio web de la SCJ. </w:t>
      </w:r>
      <w:r>
        <w:rPr>
          <w:rFonts w:ascii="Calibri" w:hAnsi="Calibri" w:cs="Calibri"/>
          <w:b/>
          <w:sz w:val="21"/>
          <w:szCs w:val="21"/>
        </w:rPr>
        <w:t xml:space="preserve">En tanto, los interesados en postular al </w:t>
      </w:r>
      <w:r w:rsidR="00040817" w:rsidRPr="00BF7B6B">
        <w:rPr>
          <w:rFonts w:ascii="Calibri" w:hAnsi="Calibri" w:cs="Calibri"/>
          <w:b/>
          <w:sz w:val="21"/>
          <w:szCs w:val="21"/>
        </w:rPr>
        <w:t>permiso de operación deberán entregar sus propuestas y la documentación exigida en la audiencia pública de presentación de ofertas técnicas, la que se realizará el lunes 06 de mayo de 2019, a las 10:00 horas, en el Hotel Gran Palace, ubicado en calle Huérfanos 1178, Santiago.</w:t>
      </w:r>
    </w:p>
    <w:p w:rsidR="00DA41E3" w:rsidRPr="00715808" w:rsidRDefault="00DA41E3" w:rsidP="00DA41E3">
      <w:pPr>
        <w:pStyle w:val="Listavistosa-nfasis11"/>
        <w:jc w:val="both"/>
        <w:rPr>
          <w:rFonts w:ascii="Calibri" w:hAnsi="Calibri"/>
          <w:sz w:val="22"/>
          <w:szCs w:val="22"/>
        </w:rPr>
      </w:pPr>
    </w:p>
    <w:p w:rsidR="002F08AF" w:rsidRDefault="002F57F1" w:rsidP="006C3A16">
      <w:pPr>
        <w:ind w:right="49"/>
        <w:jc w:val="both"/>
        <w:rPr>
          <w:rFonts w:ascii="Calibri" w:hAnsi="Calibri" w:cs="Calibri"/>
          <w:color w:val="000000"/>
          <w:sz w:val="22"/>
          <w:szCs w:val="22"/>
        </w:rPr>
      </w:pPr>
      <w:r>
        <w:rPr>
          <w:rFonts w:ascii="Calibri" w:hAnsi="Calibri" w:cs="Calibri"/>
          <w:color w:val="000000"/>
          <w:sz w:val="22"/>
          <w:szCs w:val="22"/>
        </w:rPr>
        <w:t xml:space="preserve">Luego de la </w:t>
      </w:r>
      <w:r w:rsidR="00954F2D">
        <w:rPr>
          <w:rFonts w:ascii="Calibri" w:hAnsi="Calibri" w:cs="Calibri"/>
          <w:color w:val="000000"/>
          <w:sz w:val="22"/>
          <w:szCs w:val="22"/>
        </w:rPr>
        <w:t xml:space="preserve">aprobación </w:t>
      </w:r>
      <w:r w:rsidR="002F08AF">
        <w:rPr>
          <w:rFonts w:ascii="Calibri" w:hAnsi="Calibri" w:cs="Calibri"/>
          <w:color w:val="000000"/>
          <w:sz w:val="22"/>
          <w:szCs w:val="22"/>
        </w:rPr>
        <w:t>de las bases</w:t>
      </w:r>
      <w:r w:rsidR="006143E5">
        <w:rPr>
          <w:rFonts w:ascii="Calibri" w:hAnsi="Calibri" w:cs="Calibri"/>
          <w:color w:val="000000"/>
          <w:sz w:val="22"/>
          <w:szCs w:val="22"/>
        </w:rPr>
        <w:t xml:space="preserve"> técnicas</w:t>
      </w:r>
      <w:r w:rsidR="00C05929">
        <w:rPr>
          <w:rFonts w:ascii="Calibri" w:hAnsi="Calibri" w:cs="Calibri"/>
          <w:color w:val="000000"/>
          <w:sz w:val="22"/>
          <w:szCs w:val="22"/>
        </w:rPr>
        <w:t xml:space="preserve">, </w:t>
      </w:r>
      <w:r w:rsidR="002F08AF">
        <w:rPr>
          <w:rFonts w:ascii="Calibri" w:hAnsi="Calibri" w:cs="Calibri"/>
          <w:color w:val="000000"/>
          <w:sz w:val="22"/>
          <w:szCs w:val="22"/>
        </w:rPr>
        <w:t>la Superi</w:t>
      </w:r>
      <w:r w:rsidR="00831235">
        <w:rPr>
          <w:rFonts w:ascii="Calibri" w:hAnsi="Calibri" w:cs="Calibri"/>
          <w:color w:val="000000"/>
          <w:sz w:val="22"/>
          <w:szCs w:val="22"/>
        </w:rPr>
        <w:t xml:space="preserve">ntendencia de Casinos de Juego </w:t>
      </w:r>
      <w:r w:rsidR="00954F2D">
        <w:rPr>
          <w:rFonts w:ascii="Calibri" w:hAnsi="Calibri" w:cs="Calibri"/>
          <w:color w:val="000000"/>
          <w:sz w:val="22"/>
          <w:szCs w:val="22"/>
        </w:rPr>
        <w:t xml:space="preserve"> (SCJ) </w:t>
      </w:r>
      <w:r>
        <w:rPr>
          <w:rFonts w:ascii="Calibri" w:hAnsi="Calibri" w:cs="Calibri"/>
          <w:color w:val="000000"/>
          <w:sz w:val="22"/>
          <w:szCs w:val="22"/>
        </w:rPr>
        <w:t>dictó la R</w:t>
      </w:r>
      <w:r w:rsidR="002F08AF">
        <w:rPr>
          <w:rFonts w:ascii="Calibri" w:hAnsi="Calibri" w:cs="Calibri"/>
          <w:color w:val="000000"/>
          <w:sz w:val="22"/>
          <w:szCs w:val="22"/>
        </w:rPr>
        <w:t xml:space="preserve">esolución </w:t>
      </w:r>
      <w:r>
        <w:rPr>
          <w:rFonts w:ascii="Calibri" w:hAnsi="Calibri" w:cs="Calibri"/>
          <w:color w:val="000000"/>
          <w:sz w:val="22"/>
          <w:szCs w:val="22"/>
        </w:rPr>
        <w:t>Exenta N° 809, que declara formalmente abierto e</w:t>
      </w:r>
      <w:r w:rsidR="002F08AF">
        <w:rPr>
          <w:rFonts w:ascii="Calibri" w:hAnsi="Calibri" w:cs="Calibri"/>
          <w:color w:val="000000"/>
          <w:sz w:val="22"/>
          <w:szCs w:val="22"/>
        </w:rPr>
        <w:t>l pro</w:t>
      </w:r>
      <w:r w:rsidR="00107786">
        <w:rPr>
          <w:rFonts w:ascii="Calibri" w:hAnsi="Calibri" w:cs="Calibri"/>
          <w:color w:val="000000"/>
          <w:sz w:val="22"/>
          <w:szCs w:val="22"/>
        </w:rPr>
        <w:t>ceso de otorgamiento de permiso</w:t>
      </w:r>
      <w:r w:rsidR="002F08AF">
        <w:rPr>
          <w:rFonts w:ascii="Calibri" w:hAnsi="Calibri" w:cs="Calibri"/>
          <w:color w:val="000000"/>
          <w:sz w:val="22"/>
          <w:szCs w:val="22"/>
        </w:rPr>
        <w:t xml:space="preserve"> de operación par</w:t>
      </w:r>
      <w:r w:rsidR="00831235">
        <w:rPr>
          <w:rFonts w:ascii="Calibri" w:hAnsi="Calibri" w:cs="Calibri"/>
          <w:color w:val="000000"/>
          <w:sz w:val="22"/>
          <w:szCs w:val="22"/>
        </w:rPr>
        <w:t>a</w:t>
      </w:r>
      <w:r>
        <w:rPr>
          <w:rFonts w:ascii="Calibri" w:hAnsi="Calibri" w:cs="Calibri"/>
          <w:color w:val="000000"/>
          <w:sz w:val="22"/>
          <w:szCs w:val="22"/>
        </w:rPr>
        <w:t xml:space="preserve"> un</w:t>
      </w:r>
      <w:r w:rsidR="00831235">
        <w:rPr>
          <w:rFonts w:ascii="Calibri" w:hAnsi="Calibri" w:cs="Calibri"/>
          <w:color w:val="000000"/>
          <w:sz w:val="22"/>
          <w:szCs w:val="22"/>
        </w:rPr>
        <w:t xml:space="preserve"> </w:t>
      </w:r>
      <w:r w:rsidR="00107786">
        <w:rPr>
          <w:rFonts w:ascii="Calibri" w:hAnsi="Calibri" w:cs="Calibri"/>
          <w:color w:val="000000"/>
          <w:sz w:val="22"/>
          <w:szCs w:val="22"/>
        </w:rPr>
        <w:t>casino de juego en la comuna de Natales</w:t>
      </w:r>
      <w:r>
        <w:rPr>
          <w:rFonts w:ascii="Calibri" w:hAnsi="Calibri" w:cs="Calibri"/>
          <w:color w:val="000000"/>
          <w:sz w:val="22"/>
          <w:szCs w:val="22"/>
        </w:rPr>
        <w:t xml:space="preserve">. </w:t>
      </w:r>
    </w:p>
    <w:p w:rsidR="006345D9" w:rsidRDefault="006345D9" w:rsidP="006C3A16">
      <w:pPr>
        <w:ind w:right="49"/>
        <w:jc w:val="both"/>
        <w:rPr>
          <w:rFonts w:ascii="Calibri" w:hAnsi="Calibri" w:cs="Calibri"/>
          <w:color w:val="000000"/>
          <w:sz w:val="22"/>
          <w:szCs w:val="22"/>
        </w:rPr>
      </w:pPr>
    </w:p>
    <w:p w:rsidR="002F57F1" w:rsidRDefault="002F57F1" w:rsidP="002F57F1">
      <w:pPr>
        <w:ind w:right="49"/>
        <w:jc w:val="both"/>
        <w:rPr>
          <w:rFonts w:ascii="Calibri" w:hAnsi="Calibri" w:cs="Calibri"/>
          <w:color w:val="000000"/>
          <w:sz w:val="22"/>
          <w:szCs w:val="22"/>
        </w:rPr>
      </w:pPr>
      <w:r>
        <w:rPr>
          <w:rFonts w:ascii="Calibri" w:hAnsi="Calibri" w:cs="Calibri"/>
          <w:color w:val="000000"/>
          <w:sz w:val="22"/>
          <w:szCs w:val="22"/>
        </w:rPr>
        <w:t>De acuerdo con dicha resolución, los oferentes interesados en la plaza de Natales, podrán descargar las bases técnicas y el Sistema de Postulación</w:t>
      </w:r>
      <w:r w:rsidR="003531CD">
        <w:rPr>
          <w:rFonts w:ascii="Calibri" w:hAnsi="Calibri" w:cs="Calibri"/>
          <w:color w:val="000000"/>
          <w:sz w:val="22"/>
          <w:szCs w:val="22"/>
        </w:rPr>
        <w:t xml:space="preserve"> -</w:t>
      </w:r>
      <w:r>
        <w:rPr>
          <w:rFonts w:ascii="Calibri" w:hAnsi="Calibri" w:cs="Calibri"/>
          <w:color w:val="000000"/>
          <w:sz w:val="22"/>
          <w:szCs w:val="22"/>
        </w:rPr>
        <w:t>desde hoy 26 de diciembre y hasta el 03 de mayo de 2019</w:t>
      </w:r>
      <w:r w:rsidR="003531CD">
        <w:rPr>
          <w:rFonts w:ascii="Calibri" w:hAnsi="Calibri" w:cs="Calibri"/>
          <w:color w:val="000000"/>
          <w:sz w:val="22"/>
          <w:szCs w:val="22"/>
        </w:rPr>
        <w:t>-</w:t>
      </w:r>
      <w:r>
        <w:rPr>
          <w:rFonts w:ascii="Calibri" w:hAnsi="Calibri" w:cs="Calibri"/>
          <w:color w:val="000000"/>
          <w:sz w:val="22"/>
          <w:szCs w:val="22"/>
        </w:rPr>
        <w:t xml:space="preserve">, a través del sitio web institucional </w:t>
      </w:r>
      <w:r w:rsidR="003531CD">
        <w:rPr>
          <w:rStyle w:val="Hipervnculo"/>
          <w:rFonts w:ascii="Calibri" w:hAnsi="Calibri" w:cs="Calibri"/>
          <w:sz w:val="22"/>
          <w:szCs w:val="22"/>
        </w:rPr>
        <w:t>www.scj.gob.cl/otorgamiento</w:t>
      </w:r>
      <w:r>
        <w:rPr>
          <w:rFonts w:ascii="Calibri" w:hAnsi="Calibri" w:cs="Calibri"/>
          <w:color w:val="000000"/>
          <w:sz w:val="22"/>
          <w:szCs w:val="22"/>
        </w:rPr>
        <w:t xml:space="preserve"> o bien retirarlas en las oficinas de la Superintendencia, ubicadas en calle Morandé 360, piso 11, </w:t>
      </w:r>
      <w:r w:rsidR="003531CD">
        <w:rPr>
          <w:rFonts w:ascii="Calibri" w:hAnsi="Calibri" w:cs="Calibri"/>
          <w:color w:val="000000"/>
          <w:sz w:val="22"/>
          <w:szCs w:val="22"/>
        </w:rPr>
        <w:t xml:space="preserve">comuna de </w:t>
      </w:r>
      <w:r>
        <w:rPr>
          <w:rFonts w:ascii="Calibri" w:hAnsi="Calibri" w:cs="Calibri"/>
          <w:color w:val="000000"/>
          <w:sz w:val="22"/>
          <w:szCs w:val="22"/>
        </w:rPr>
        <w:t>Santiago.</w:t>
      </w:r>
    </w:p>
    <w:p w:rsidR="006345D9" w:rsidRDefault="006345D9" w:rsidP="006C3A16">
      <w:pPr>
        <w:ind w:right="49"/>
        <w:jc w:val="both"/>
        <w:rPr>
          <w:rFonts w:ascii="Calibri" w:hAnsi="Calibri" w:cs="Calibri"/>
          <w:color w:val="000000"/>
          <w:sz w:val="22"/>
          <w:szCs w:val="22"/>
        </w:rPr>
      </w:pPr>
    </w:p>
    <w:p w:rsidR="00F1478D" w:rsidRPr="00F1478D" w:rsidRDefault="00954F2D" w:rsidP="00F1478D">
      <w:pPr>
        <w:ind w:right="49"/>
        <w:jc w:val="both"/>
        <w:rPr>
          <w:rFonts w:ascii="Calibri" w:hAnsi="Calibri" w:cs="Calibri"/>
          <w:color w:val="000000"/>
          <w:sz w:val="22"/>
          <w:szCs w:val="22"/>
        </w:rPr>
      </w:pPr>
      <w:r>
        <w:rPr>
          <w:rFonts w:ascii="Calibri" w:hAnsi="Calibri" w:cs="Calibri"/>
          <w:color w:val="000000"/>
          <w:sz w:val="22"/>
          <w:szCs w:val="22"/>
        </w:rPr>
        <w:t xml:space="preserve">Asimismo, </w:t>
      </w:r>
      <w:r w:rsidR="00F1478D">
        <w:rPr>
          <w:rFonts w:ascii="Calibri" w:hAnsi="Calibri" w:cs="Calibri"/>
          <w:color w:val="000000"/>
          <w:sz w:val="22"/>
          <w:szCs w:val="22"/>
        </w:rPr>
        <w:t xml:space="preserve">a contar de hoy y </w:t>
      </w:r>
      <w:r w:rsidR="00700F05">
        <w:rPr>
          <w:rFonts w:ascii="Calibri" w:hAnsi="Calibri" w:cs="Calibri"/>
          <w:color w:val="000000"/>
          <w:sz w:val="22"/>
          <w:szCs w:val="22"/>
        </w:rPr>
        <w:t xml:space="preserve">por </w:t>
      </w:r>
      <w:r w:rsidR="00F1478D">
        <w:rPr>
          <w:rFonts w:ascii="Calibri" w:hAnsi="Calibri" w:cs="Calibri"/>
          <w:color w:val="000000"/>
          <w:sz w:val="22"/>
          <w:szCs w:val="22"/>
        </w:rPr>
        <w:t>un plazo de diez días</w:t>
      </w:r>
      <w:r w:rsidR="003531CD">
        <w:rPr>
          <w:rFonts w:ascii="Calibri" w:hAnsi="Calibri" w:cs="Calibri"/>
          <w:color w:val="000000"/>
          <w:sz w:val="22"/>
          <w:szCs w:val="22"/>
        </w:rPr>
        <w:t xml:space="preserve"> hábiles</w:t>
      </w:r>
      <w:r w:rsidR="00F1478D">
        <w:rPr>
          <w:rFonts w:ascii="Calibri" w:hAnsi="Calibri" w:cs="Calibri"/>
          <w:color w:val="000000"/>
          <w:sz w:val="22"/>
          <w:szCs w:val="22"/>
        </w:rPr>
        <w:t xml:space="preserve">, se desarrollará el </w:t>
      </w:r>
      <w:r>
        <w:rPr>
          <w:rFonts w:ascii="Calibri" w:hAnsi="Calibri" w:cs="Calibri"/>
          <w:color w:val="000000"/>
          <w:sz w:val="22"/>
          <w:szCs w:val="22"/>
        </w:rPr>
        <w:t>periodo de</w:t>
      </w:r>
      <w:r w:rsidR="00700F05">
        <w:rPr>
          <w:rFonts w:ascii="Calibri" w:hAnsi="Calibri" w:cs="Calibri"/>
          <w:color w:val="000000"/>
          <w:sz w:val="22"/>
          <w:szCs w:val="22"/>
        </w:rPr>
        <w:t xml:space="preserve"> recepción de</w:t>
      </w:r>
      <w:r>
        <w:rPr>
          <w:rFonts w:ascii="Calibri" w:hAnsi="Calibri" w:cs="Calibri"/>
          <w:color w:val="000000"/>
          <w:sz w:val="22"/>
          <w:szCs w:val="22"/>
        </w:rPr>
        <w:t xml:space="preserve"> consultas</w:t>
      </w:r>
      <w:r w:rsidR="00F1478D">
        <w:rPr>
          <w:rFonts w:ascii="Calibri" w:hAnsi="Calibri" w:cs="Calibri"/>
          <w:color w:val="000000"/>
          <w:sz w:val="22"/>
          <w:szCs w:val="22"/>
        </w:rPr>
        <w:t xml:space="preserve"> y solicitud de aclaraciones</w:t>
      </w:r>
      <w:r w:rsidR="006A46F3">
        <w:rPr>
          <w:rFonts w:ascii="Calibri" w:hAnsi="Calibri" w:cs="Calibri"/>
          <w:color w:val="000000"/>
          <w:sz w:val="22"/>
          <w:szCs w:val="22"/>
        </w:rPr>
        <w:t xml:space="preserve"> por parte de los oferentes interesados</w:t>
      </w:r>
      <w:r w:rsidR="00F1478D">
        <w:rPr>
          <w:rFonts w:ascii="Calibri" w:hAnsi="Calibri" w:cs="Calibri"/>
          <w:color w:val="000000"/>
          <w:sz w:val="22"/>
          <w:szCs w:val="22"/>
        </w:rPr>
        <w:t xml:space="preserve">, las que podrán realizarse </w:t>
      </w:r>
      <w:r w:rsidR="00A34A97" w:rsidRPr="00A34A97">
        <w:rPr>
          <w:rFonts w:ascii="Calibri" w:hAnsi="Calibri" w:cs="Calibri"/>
          <w:color w:val="000000"/>
          <w:sz w:val="22"/>
          <w:szCs w:val="22"/>
        </w:rPr>
        <w:t>a través de</w:t>
      </w:r>
      <w:r w:rsidR="006E0275">
        <w:rPr>
          <w:rFonts w:ascii="Calibri" w:hAnsi="Calibri" w:cs="Calibri"/>
          <w:color w:val="000000"/>
          <w:sz w:val="22"/>
          <w:szCs w:val="22"/>
        </w:rPr>
        <w:t xml:space="preserve">l correo electrónico </w:t>
      </w:r>
      <w:hyperlink r:id="rId8" w:history="1">
        <w:r w:rsidR="006E0275" w:rsidRPr="000620AD">
          <w:rPr>
            <w:rStyle w:val="Hipervnculo"/>
            <w:rFonts w:ascii="Calibri" w:hAnsi="Calibri" w:cs="Calibri"/>
            <w:sz w:val="22"/>
            <w:szCs w:val="22"/>
          </w:rPr>
          <w:t>consultasproceso@scj.gob.cl</w:t>
        </w:r>
      </w:hyperlink>
      <w:r w:rsidR="00F1478D">
        <w:rPr>
          <w:rFonts w:ascii="Calibri" w:hAnsi="Calibri" w:cs="Calibri"/>
          <w:color w:val="000000"/>
          <w:sz w:val="22"/>
          <w:szCs w:val="22"/>
        </w:rPr>
        <w:t xml:space="preserve">. </w:t>
      </w:r>
      <w:r w:rsidR="008771B8">
        <w:rPr>
          <w:rFonts w:ascii="Calibri" w:hAnsi="Calibri" w:cs="Calibri"/>
          <w:color w:val="000000"/>
          <w:sz w:val="22"/>
          <w:szCs w:val="22"/>
        </w:rPr>
        <w:t xml:space="preserve">En tanto, </w:t>
      </w:r>
      <w:r w:rsidR="00F1478D" w:rsidRPr="00F1478D">
        <w:rPr>
          <w:rFonts w:ascii="Calibri" w:hAnsi="Calibri" w:cs="Calibri"/>
          <w:color w:val="000000"/>
          <w:sz w:val="22"/>
          <w:szCs w:val="22"/>
        </w:rPr>
        <w:t xml:space="preserve">la Superintendencia </w:t>
      </w:r>
      <w:r w:rsidR="006A46F3">
        <w:rPr>
          <w:rFonts w:ascii="Calibri" w:hAnsi="Calibri" w:cs="Calibri"/>
          <w:color w:val="000000"/>
          <w:sz w:val="22"/>
          <w:szCs w:val="22"/>
        </w:rPr>
        <w:t xml:space="preserve">cuenta con un plazo de quince días </w:t>
      </w:r>
      <w:r w:rsidR="006E0275">
        <w:rPr>
          <w:rFonts w:ascii="Calibri" w:hAnsi="Calibri" w:cs="Calibri"/>
          <w:color w:val="000000"/>
          <w:sz w:val="22"/>
          <w:szCs w:val="22"/>
        </w:rPr>
        <w:t xml:space="preserve">hábiles </w:t>
      </w:r>
      <w:r w:rsidR="006A46F3">
        <w:rPr>
          <w:rFonts w:ascii="Calibri" w:hAnsi="Calibri" w:cs="Calibri"/>
          <w:color w:val="000000"/>
          <w:sz w:val="22"/>
          <w:szCs w:val="22"/>
        </w:rPr>
        <w:t xml:space="preserve">para </w:t>
      </w:r>
      <w:r w:rsidR="00700F05">
        <w:rPr>
          <w:rFonts w:ascii="Calibri" w:hAnsi="Calibri" w:cs="Calibri"/>
          <w:color w:val="000000"/>
          <w:sz w:val="22"/>
          <w:szCs w:val="22"/>
        </w:rPr>
        <w:t xml:space="preserve">dar </w:t>
      </w:r>
      <w:r w:rsidR="006A46F3">
        <w:rPr>
          <w:rFonts w:ascii="Calibri" w:hAnsi="Calibri" w:cs="Calibri"/>
          <w:color w:val="000000"/>
          <w:sz w:val="22"/>
          <w:szCs w:val="22"/>
        </w:rPr>
        <w:t>r</w:t>
      </w:r>
      <w:r w:rsidR="006E0275">
        <w:rPr>
          <w:rFonts w:ascii="Calibri" w:hAnsi="Calibri" w:cs="Calibri"/>
          <w:color w:val="000000"/>
          <w:sz w:val="22"/>
          <w:szCs w:val="22"/>
        </w:rPr>
        <w:t xml:space="preserve">espuestas a </w:t>
      </w:r>
      <w:r w:rsidR="00700F05">
        <w:rPr>
          <w:rFonts w:ascii="Calibri" w:hAnsi="Calibri" w:cs="Calibri"/>
          <w:color w:val="000000"/>
          <w:sz w:val="22"/>
          <w:szCs w:val="22"/>
        </w:rPr>
        <w:t>las mismas.</w:t>
      </w:r>
    </w:p>
    <w:p w:rsidR="00A34A97" w:rsidRDefault="00A34A97" w:rsidP="00A34A97">
      <w:pPr>
        <w:ind w:right="49"/>
        <w:jc w:val="both"/>
      </w:pPr>
    </w:p>
    <w:p w:rsidR="00F1478D" w:rsidRDefault="008771B8" w:rsidP="00F1478D">
      <w:pPr>
        <w:ind w:right="49"/>
        <w:jc w:val="both"/>
        <w:rPr>
          <w:rFonts w:ascii="Calibri" w:hAnsi="Calibri" w:cs="Calibri"/>
          <w:color w:val="000000"/>
          <w:sz w:val="22"/>
          <w:szCs w:val="22"/>
        </w:rPr>
      </w:pPr>
      <w:r>
        <w:rPr>
          <w:rFonts w:ascii="Calibri" w:hAnsi="Calibri" w:cs="Calibri"/>
          <w:color w:val="000000"/>
          <w:sz w:val="22"/>
          <w:szCs w:val="22"/>
        </w:rPr>
        <w:t>Por su parte, l</w:t>
      </w:r>
      <w:r w:rsidR="00BF7B6B">
        <w:rPr>
          <w:rFonts w:ascii="Calibri" w:hAnsi="Calibri" w:cs="Calibri"/>
          <w:color w:val="000000"/>
          <w:sz w:val="22"/>
          <w:szCs w:val="22"/>
        </w:rPr>
        <w:t xml:space="preserve">as sociedades postulantes </w:t>
      </w:r>
      <w:r w:rsidR="00A64E9D">
        <w:rPr>
          <w:rFonts w:ascii="Calibri" w:hAnsi="Calibri" w:cs="Calibri"/>
          <w:color w:val="000000"/>
          <w:sz w:val="22"/>
          <w:szCs w:val="22"/>
        </w:rPr>
        <w:t xml:space="preserve">deberán entregar sus </w:t>
      </w:r>
      <w:r w:rsidR="00F1478D">
        <w:rPr>
          <w:rFonts w:ascii="Calibri" w:hAnsi="Calibri" w:cs="Calibri"/>
          <w:color w:val="000000"/>
          <w:sz w:val="22"/>
          <w:szCs w:val="22"/>
        </w:rPr>
        <w:t>propuestas y la documentación exigida en la audiencia pública de presentación de ofertas técnicas</w:t>
      </w:r>
      <w:r w:rsidR="00A64E9D">
        <w:rPr>
          <w:rFonts w:ascii="Calibri" w:hAnsi="Calibri" w:cs="Calibri"/>
          <w:color w:val="000000"/>
          <w:sz w:val="22"/>
          <w:szCs w:val="22"/>
        </w:rPr>
        <w:t xml:space="preserve">, la </w:t>
      </w:r>
      <w:r w:rsidR="00040817">
        <w:rPr>
          <w:rFonts w:ascii="Calibri" w:hAnsi="Calibri" w:cs="Calibri"/>
          <w:color w:val="000000"/>
          <w:sz w:val="22"/>
          <w:szCs w:val="22"/>
        </w:rPr>
        <w:t>que se realizará el lunes 06 de mayo de 2019, a las 10:00 horas, en el Hotel Gran Palace, ubicado en calle Huérfanos 1178, Santiago.</w:t>
      </w:r>
    </w:p>
    <w:p w:rsidR="00954F2D" w:rsidRDefault="00954F2D" w:rsidP="000F3CA4">
      <w:pPr>
        <w:ind w:right="49"/>
        <w:jc w:val="both"/>
        <w:rPr>
          <w:rFonts w:ascii="Calibri" w:hAnsi="Calibri" w:cs="Calibri"/>
          <w:color w:val="000000"/>
          <w:sz w:val="22"/>
          <w:szCs w:val="22"/>
        </w:rPr>
      </w:pPr>
    </w:p>
    <w:p w:rsidR="000F3CA4" w:rsidRDefault="000F3CA4" w:rsidP="000F3CA4">
      <w:pPr>
        <w:ind w:right="49"/>
        <w:jc w:val="both"/>
        <w:rPr>
          <w:rFonts w:ascii="Calibri" w:hAnsi="Calibri" w:cs="Calibri"/>
          <w:color w:val="000000"/>
          <w:sz w:val="22"/>
          <w:szCs w:val="22"/>
        </w:rPr>
      </w:pPr>
      <w:r>
        <w:rPr>
          <w:rFonts w:ascii="Calibri" w:hAnsi="Calibri" w:cs="Calibri"/>
          <w:color w:val="000000"/>
          <w:sz w:val="22"/>
          <w:szCs w:val="22"/>
        </w:rPr>
        <w:t>En la audiencia de presentación de ofertas técnicas, la S</w:t>
      </w:r>
      <w:r w:rsidR="00FF0C8A">
        <w:rPr>
          <w:rFonts w:ascii="Calibri" w:hAnsi="Calibri" w:cs="Calibri"/>
          <w:color w:val="000000"/>
          <w:sz w:val="22"/>
          <w:szCs w:val="22"/>
        </w:rPr>
        <w:t>CJ</w:t>
      </w:r>
      <w:r>
        <w:rPr>
          <w:rFonts w:ascii="Calibri" w:hAnsi="Calibri" w:cs="Calibri"/>
          <w:color w:val="000000"/>
          <w:sz w:val="22"/>
          <w:szCs w:val="22"/>
        </w:rPr>
        <w:t xml:space="preserve"> verificará que éstas contengan cada uno de los documentos solicitados en las bases recién presentadas. Por su parte, un representante del Consejo Resolutivo custodiará la oferta económica hasta la audiencia de apertura de la oferta económica. </w:t>
      </w:r>
    </w:p>
    <w:p w:rsidR="009400BB" w:rsidRPr="00040817" w:rsidRDefault="009400BB" w:rsidP="009400BB">
      <w:pPr>
        <w:ind w:right="49"/>
        <w:jc w:val="both"/>
        <w:rPr>
          <w:rFonts w:ascii="Calibri" w:hAnsi="Calibri" w:cs="Calibri"/>
          <w:b/>
          <w:color w:val="000000"/>
          <w:sz w:val="22"/>
          <w:szCs w:val="22"/>
        </w:rPr>
      </w:pPr>
    </w:p>
    <w:p w:rsidR="007C01C3" w:rsidRPr="00040817" w:rsidRDefault="00040817" w:rsidP="006C3A16">
      <w:pPr>
        <w:ind w:right="49"/>
        <w:jc w:val="both"/>
        <w:rPr>
          <w:rFonts w:ascii="Calibri" w:hAnsi="Calibri" w:cs="Calibri"/>
          <w:b/>
          <w:color w:val="000000"/>
          <w:sz w:val="22"/>
          <w:szCs w:val="22"/>
        </w:rPr>
      </w:pPr>
      <w:r w:rsidRPr="00040817">
        <w:rPr>
          <w:rFonts w:ascii="Calibri" w:hAnsi="Calibri" w:cs="Calibri"/>
          <w:b/>
          <w:color w:val="000000"/>
          <w:sz w:val="22"/>
          <w:szCs w:val="22"/>
        </w:rPr>
        <w:t xml:space="preserve">Condiciones Especiales </w:t>
      </w:r>
    </w:p>
    <w:p w:rsidR="00040817" w:rsidRDefault="00040817" w:rsidP="006C3A16">
      <w:pPr>
        <w:ind w:right="49"/>
        <w:jc w:val="both"/>
        <w:rPr>
          <w:rFonts w:ascii="Calibri" w:hAnsi="Calibri" w:cs="Calibri"/>
          <w:color w:val="000000"/>
          <w:sz w:val="22"/>
          <w:szCs w:val="22"/>
        </w:rPr>
      </w:pPr>
    </w:p>
    <w:p w:rsidR="00040817" w:rsidRDefault="00040817" w:rsidP="006C3A16">
      <w:pPr>
        <w:ind w:right="49"/>
        <w:jc w:val="both"/>
        <w:rPr>
          <w:rFonts w:ascii="Calibri" w:hAnsi="Calibri" w:cs="Calibri"/>
          <w:color w:val="000000"/>
          <w:sz w:val="22"/>
          <w:szCs w:val="22"/>
        </w:rPr>
      </w:pPr>
      <w:r w:rsidRPr="00040817">
        <w:rPr>
          <w:rFonts w:ascii="Calibri" w:hAnsi="Calibri" w:cs="Calibri"/>
          <w:color w:val="000000"/>
          <w:sz w:val="22"/>
          <w:szCs w:val="22"/>
        </w:rPr>
        <w:t xml:space="preserve">En las bases técnicas están incorporadas las condiciones especiales que regirá el concurso en </w:t>
      </w:r>
      <w:r>
        <w:rPr>
          <w:rFonts w:ascii="Calibri" w:hAnsi="Calibri" w:cs="Calibri"/>
          <w:color w:val="000000"/>
          <w:sz w:val="22"/>
          <w:szCs w:val="22"/>
        </w:rPr>
        <w:t xml:space="preserve">la comuna de </w:t>
      </w:r>
      <w:r w:rsidRPr="00040817">
        <w:rPr>
          <w:rFonts w:ascii="Calibri" w:hAnsi="Calibri" w:cs="Calibri"/>
          <w:color w:val="000000"/>
          <w:sz w:val="22"/>
          <w:szCs w:val="22"/>
        </w:rPr>
        <w:t>Natales, las que fueron determinadas por el Consejo Resolutivo</w:t>
      </w:r>
      <w:r>
        <w:rPr>
          <w:rFonts w:ascii="Calibri" w:hAnsi="Calibri" w:cs="Calibri"/>
          <w:color w:val="000000"/>
          <w:sz w:val="22"/>
          <w:szCs w:val="22"/>
        </w:rPr>
        <w:t xml:space="preserve"> de la Superintendencia de Casinos de Juego, </w:t>
      </w:r>
      <w:r w:rsidRPr="00040817">
        <w:rPr>
          <w:rFonts w:ascii="Calibri" w:hAnsi="Calibri" w:cs="Calibri"/>
          <w:color w:val="000000"/>
          <w:sz w:val="22"/>
          <w:szCs w:val="22"/>
        </w:rPr>
        <w:t xml:space="preserve">de acuerdo </w:t>
      </w:r>
      <w:r>
        <w:rPr>
          <w:rFonts w:ascii="Calibri" w:hAnsi="Calibri" w:cs="Calibri"/>
          <w:color w:val="000000"/>
          <w:sz w:val="22"/>
          <w:szCs w:val="22"/>
        </w:rPr>
        <w:t xml:space="preserve">con </w:t>
      </w:r>
      <w:r w:rsidRPr="00040817">
        <w:rPr>
          <w:rFonts w:ascii="Calibri" w:hAnsi="Calibri" w:cs="Calibri"/>
          <w:color w:val="000000"/>
          <w:sz w:val="22"/>
          <w:szCs w:val="22"/>
        </w:rPr>
        <w:t xml:space="preserve">lo </w:t>
      </w:r>
      <w:r>
        <w:rPr>
          <w:rFonts w:ascii="Calibri" w:hAnsi="Calibri" w:cs="Calibri"/>
          <w:color w:val="000000"/>
          <w:sz w:val="22"/>
          <w:szCs w:val="22"/>
        </w:rPr>
        <w:t xml:space="preserve">establecido en la Ley de Casinos. </w:t>
      </w:r>
      <w:r w:rsidRPr="00040817">
        <w:rPr>
          <w:rFonts w:ascii="Calibri" w:hAnsi="Calibri" w:cs="Calibri"/>
          <w:color w:val="000000"/>
          <w:sz w:val="22"/>
          <w:szCs w:val="22"/>
        </w:rPr>
        <w:t xml:space="preserve">Para estos efectos se tuvo presente la solicitud presentada por el alcalde de la comuna a la </w:t>
      </w:r>
      <w:r w:rsidR="00181111">
        <w:rPr>
          <w:rFonts w:ascii="Calibri" w:hAnsi="Calibri" w:cs="Calibri"/>
          <w:color w:val="000000"/>
          <w:sz w:val="22"/>
          <w:szCs w:val="22"/>
        </w:rPr>
        <w:t>SCJ</w:t>
      </w:r>
      <w:r w:rsidRPr="00040817">
        <w:rPr>
          <w:rFonts w:ascii="Calibri" w:hAnsi="Calibri" w:cs="Calibri"/>
          <w:color w:val="000000"/>
          <w:sz w:val="22"/>
          <w:szCs w:val="22"/>
        </w:rPr>
        <w:t>; así como también la propuesta técnica elaborada por este organismo.</w:t>
      </w:r>
    </w:p>
    <w:p w:rsidR="00040817" w:rsidRDefault="00040817" w:rsidP="006C3A16">
      <w:pPr>
        <w:ind w:right="49"/>
        <w:jc w:val="both"/>
        <w:rPr>
          <w:rFonts w:ascii="Calibri" w:hAnsi="Calibri" w:cs="Calibri"/>
          <w:color w:val="000000"/>
          <w:sz w:val="22"/>
          <w:szCs w:val="22"/>
        </w:rPr>
      </w:pPr>
    </w:p>
    <w:p w:rsidR="00040817" w:rsidRDefault="00040817" w:rsidP="006C3A16">
      <w:pPr>
        <w:ind w:right="49"/>
        <w:jc w:val="both"/>
        <w:rPr>
          <w:rFonts w:ascii="Calibri" w:hAnsi="Calibri" w:cs="Calibri"/>
          <w:b/>
          <w:sz w:val="21"/>
          <w:szCs w:val="21"/>
          <w:lang w:val="es-CL"/>
        </w:rPr>
      </w:pPr>
    </w:p>
    <w:p w:rsidR="00040817" w:rsidRDefault="00040817" w:rsidP="006C3A16">
      <w:pPr>
        <w:ind w:right="49"/>
        <w:jc w:val="both"/>
        <w:rPr>
          <w:rFonts w:ascii="Calibri" w:hAnsi="Calibri" w:cs="Calibri"/>
          <w:b/>
          <w:sz w:val="21"/>
          <w:szCs w:val="21"/>
          <w:lang w:val="es-CL"/>
        </w:rPr>
      </w:pPr>
      <w:r>
        <w:rPr>
          <w:rFonts w:ascii="Calibri" w:hAnsi="Calibri" w:cs="Calibri"/>
          <w:noProof/>
          <w:color w:val="000000"/>
          <w:sz w:val="22"/>
          <w:szCs w:val="22"/>
          <w:lang w:val="es-CL" w:eastAsia="es-CL"/>
        </w:rPr>
        <w:lastRenderedPageBreak/>
        <mc:AlternateContent>
          <mc:Choice Requires="wps">
            <w:drawing>
              <wp:anchor distT="45720" distB="45720" distL="114300" distR="114300" simplePos="0" relativeHeight="251659776" behindDoc="0" locked="0" layoutInCell="1" allowOverlap="1" wp14:anchorId="23B6040E" wp14:editId="18C64B18">
                <wp:simplePos x="0" y="0"/>
                <wp:positionH relativeFrom="margin">
                  <wp:align>center</wp:align>
                </wp:positionH>
                <wp:positionV relativeFrom="paragraph">
                  <wp:posOffset>121996</wp:posOffset>
                </wp:positionV>
                <wp:extent cx="5979795" cy="1996440"/>
                <wp:effectExtent l="0" t="0" r="1905" b="381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19970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817" w:rsidRDefault="00040817" w:rsidP="00040817">
                            <w:pPr>
                              <w:pStyle w:val="Listavistosa-nfasis11"/>
                              <w:ind w:left="0"/>
                              <w:jc w:val="both"/>
                              <w:rPr>
                                <w:rFonts w:ascii="Calibri" w:hAnsi="Calibri" w:cs="Calibri"/>
                                <w:b/>
                                <w:sz w:val="21"/>
                                <w:szCs w:val="21"/>
                                <w:lang w:val="es-CL"/>
                              </w:rPr>
                            </w:pPr>
                          </w:p>
                          <w:p w:rsidR="00181111" w:rsidRPr="00F84C85" w:rsidRDefault="00181111" w:rsidP="00040817">
                            <w:pPr>
                              <w:pStyle w:val="Listavistosa-nfasis11"/>
                              <w:ind w:left="0"/>
                              <w:jc w:val="both"/>
                              <w:rPr>
                                <w:rFonts w:ascii="Calibri" w:hAnsi="Calibri" w:cs="Calibri"/>
                                <w:b/>
                                <w:sz w:val="21"/>
                                <w:szCs w:val="21"/>
                                <w:lang w:val="es-CL"/>
                              </w:rPr>
                            </w:pPr>
                          </w:p>
                          <w:p w:rsidR="00040817" w:rsidRDefault="00040817" w:rsidP="00040817">
                            <w:pPr>
                              <w:pStyle w:val="Listavistosa-nfasis11"/>
                              <w:ind w:left="0"/>
                              <w:jc w:val="center"/>
                              <w:rPr>
                                <w:rFonts w:ascii="Calibri" w:hAnsi="Calibri" w:cs="Calibri"/>
                                <w:b/>
                                <w:sz w:val="21"/>
                                <w:szCs w:val="21"/>
                                <w:lang w:val="es-CL"/>
                              </w:rPr>
                            </w:pPr>
                            <w:r>
                              <w:rPr>
                                <w:rFonts w:ascii="Calibri" w:hAnsi="Calibri" w:cs="Calibri"/>
                                <w:b/>
                                <w:sz w:val="21"/>
                                <w:szCs w:val="21"/>
                                <w:lang w:val="es-CL"/>
                              </w:rPr>
                              <w:t>Condiciones Especiales comuna de Puerto Natales</w:t>
                            </w:r>
                          </w:p>
                          <w:p w:rsidR="00040817" w:rsidRDefault="00040817" w:rsidP="00040817">
                            <w:pPr>
                              <w:rPr>
                                <w:lang w:val="es-CL"/>
                              </w:rPr>
                            </w:pPr>
                          </w:p>
                          <w:p w:rsidR="00040817" w:rsidRDefault="00040817" w:rsidP="00040817">
                            <w:pPr>
                              <w:numPr>
                                <w:ilvl w:val="0"/>
                                <w:numId w:val="11"/>
                              </w:numPr>
                              <w:ind w:left="714" w:hanging="357"/>
                              <w:jc w:val="both"/>
                              <w:rPr>
                                <w:rFonts w:ascii="Calibri" w:hAnsi="Calibri" w:cs="Arial"/>
                                <w:color w:val="000000"/>
                                <w:sz w:val="21"/>
                                <w:szCs w:val="21"/>
                              </w:rPr>
                            </w:pPr>
                            <w:r w:rsidRPr="00E327EE">
                              <w:rPr>
                                <w:rFonts w:ascii="Calibri" w:hAnsi="Calibri" w:cs="Arial"/>
                                <w:color w:val="000000"/>
                                <w:sz w:val="21"/>
                                <w:szCs w:val="21"/>
                              </w:rPr>
                              <w:t>Oferta Eco</w:t>
                            </w:r>
                            <w:r>
                              <w:rPr>
                                <w:rFonts w:ascii="Calibri" w:hAnsi="Calibri" w:cs="Arial"/>
                                <w:color w:val="000000"/>
                                <w:sz w:val="21"/>
                                <w:szCs w:val="21"/>
                              </w:rPr>
                              <w:t>nómica Mínima Garantizada: U</w:t>
                            </w:r>
                            <w:r w:rsidR="00181111">
                              <w:rPr>
                                <w:rFonts w:ascii="Calibri" w:hAnsi="Calibri" w:cs="Arial"/>
                                <w:color w:val="000000"/>
                                <w:sz w:val="21"/>
                                <w:szCs w:val="21"/>
                              </w:rPr>
                              <w:t>.</w:t>
                            </w:r>
                            <w:r>
                              <w:rPr>
                                <w:rFonts w:ascii="Calibri" w:hAnsi="Calibri" w:cs="Arial"/>
                                <w:color w:val="000000"/>
                                <w:sz w:val="21"/>
                                <w:szCs w:val="21"/>
                              </w:rPr>
                              <w:t>F</w:t>
                            </w:r>
                            <w:r w:rsidR="00181111">
                              <w:rPr>
                                <w:rFonts w:ascii="Calibri" w:hAnsi="Calibri" w:cs="Arial"/>
                                <w:color w:val="000000"/>
                                <w:sz w:val="21"/>
                                <w:szCs w:val="21"/>
                              </w:rPr>
                              <w:t>.</w:t>
                            </w:r>
                            <w:r>
                              <w:rPr>
                                <w:rFonts w:ascii="Calibri" w:hAnsi="Calibri" w:cs="Arial"/>
                                <w:color w:val="000000"/>
                                <w:sz w:val="21"/>
                                <w:szCs w:val="21"/>
                              </w:rPr>
                              <w:t xml:space="preserve"> 13</w:t>
                            </w:r>
                            <w:r w:rsidRPr="00E327EE">
                              <w:rPr>
                                <w:rFonts w:ascii="Calibri" w:hAnsi="Calibri" w:cs="Arial"/>
                                <w:color w:val="000000"/>
                                <w:sz w:val="21"/>
                                <w:szCs w:val="21"/>
                              </w:rPr>
                              <w:t>.000 anuales.</w:t>
                            </w:r>
                            <w:r w:rsidRPr="00040817">
                              <w:rPr>
                                <w:rFonts w:ascii="Calibri" w:hAnsi="Calibri" w:cs="Arial"/>
                                <w:color w:val="000000"/>
                                <w:sz w:val="21"/>
                                <w:szCs w:val="21"/>
                              </w:rPr>
                              <w:t xml:space="preserve"> </w:t>
                            </w:r>
                          </w:p>
                          <w:p w:rsidR="00040817" w:rsidRDefault="00040817" w:rsidP="00040817">
                            <w:pPr>
                              <w:ind w:left="714"/>
                              <w:jc w:val="both"/>
                              <w:rPr>
                                <w:rFonts w:ascii="Calibri" w:hAnsi="Calibri" w:cs="Arial"/>
                                <w:color w:val="000000"/>
                                <w:sz w:val="21"/>
                                <w:szCs w:val="21"/>
                              </w:rPr>
                            </w:pPr>
                          </w:p>
                          <w:p w:rsidR="00040817" w:rsidRPr="00E327EE" w:rsidRDefault="00040817" w:rsidP="00040817">
                            <w:pPr>
                              <w:numPr>
                                <w:ilvl w:val="0"/>
                                <w:numId w:val="11"/>
                              </w:numPr>
                              <w:ind w:left="714" w:hanging="357"/>
                              <w:jc w:val="both"/>
                              <w:rPr>
                                <w:rFonts w:ascii="Calibri" w:hAnsi="Calibri" w:cs="Arial"/>
                                <w:color w:val="000000"/>
                                <w:sz w:val="21"/>
                                <w:szCs w:val="21"/>
                              </w:rPr>
                            </w:pPr>
                            <w:r w:rsidRPr="00E327EE">
                              <w:rPr>
                                <w:rFonts w:ascii="Calibri" w:hAnsi="Calibri" w:cs="Arial"/>
                                <w:color w:val="000000"/>
                                <w:sz w:val="21"/>
                                <w:szCs w:val="21"/>
                              </w:rPr>
                              <w:t>Porcentaje de trabajadores que se desempeñan para el actual concesionario que continuarán prestando servicios: 80%.</w:t>
                            </w:r>
                          </w:p>
                          <w:p w:rsidR="00040817" w:rsidRPr="00E327EE" w:rsidRDefault="00040817" w:rsidP="00040817">
                            <w:pPr>
                              <w:ind w:left="714"/>
                              <w:jc w:val="both"/>
                              <w:rPr>
                                <w:rFonts w:ascii="Calibri" w:hAnsi="Calibri" w:cs="Arial"/>
                                <w:color w:val="000000"/>
                                <w:sz w:val="10"/>
                                <w:szCs w:val="10"/>
                              </w:rPr>
                            </w:pPr>
                          </w:p>
                          <w:p w:rsidR="00040817" w:rsidRPr="00E327EE" w:rsidRDefault="00040817" w:rsidP="00040817">
                            <w:pPr>
                              <w:rPr>
                                <w:rFonts w:ascii="Calibri" w:hAnsi="Calibri" w:cs="Arial"/>
                                <w:color w:val="000000"/>
                                <w:sz w:val="10"/>
                                <w:szCs w:val="10"/>
                              </w:rPr>
                            </w:pPr>
                          </w:p>
                          <w:p w:rsidR="00040817" w:rsidRPr="00F81EF5" w:rsidRDefault="00040817" w:rsidP="00040817">
                            <w:pPr>
                              <w:numPr>
                                <w:ilvl w:val="0"/>
                                <w:numId w:val="11"/>
                              </w:numPr>
                              <w:jc w:val="both"/>
                              <w:rPr>
                                <w:rFonts w:ascii="Calibri" w:hAnsi="Calibri" w:cs="Arial"/>
                                <w:sz w:val="21"/>
                                <w:szCs w:val="21"/>
                              </w:rPr>
                            </w:pPr>
                            <w:r w:rsidRPr="00FA4892">
                              <w:rPr>
                                <w:rFonts w:ascii="Calibri" w:hAnsi="Calibri" w:cs="Calibri"/>
                                <w:sz w:val="21"/>
                                <w:szCs w:val="21"/>
                                <w:lang w:val="es-CL"/>
                              </w:rPr>
                              <w:t>Condiciones de construcción o ampliación de la infraestructura turística:</w:t>
                            </w:r>
                          </w:p>
                          <w:p w:rsidR="00040817" w:rsidRPr="00E327EE" w:rsidRDefault="00040817" w:rsidP="00040817">
                            <w:pPr>
                              <w:jc w:val="both"/>
                              <w:rPr>
                                <w:rFonts w:ascii="Calibri" w:hAnsi="Calibri" w:cs="Arial"/>
                                <w:color w:val="000000"/>
                                <w:sz w:val="10"/>
                                <w:szCs w:val="10"/>
                              </w:rPr>
                            </w:pPr>
                          </w:p>
                          <w:p w:rsidR="00040817" w:rsidRDefault="00040817" w:rsidP="00040817">
                            <w:pPr>
                              <w:ind w:left="720"/>
                            </w:pPr>
                            <w:r>
                              <w:rPr>
                                <w:rFonts w:ascii="Calibri" w:hAnsi="Calibri" w:cs="Arial"/>
                                <w:color w:val="000000"/>
                                <w:sz w:val="21"/>
                                <w:szCs w:val="21"/>
                              </w:rPr>
                              <w:t>Hermoseamiento de áreas verd</w:t>
                            </w:r>
                            <w:r w:rsidR="00181111">
                              <w:rPr>
                                <w:rFonts w:ascii="Calibri" w:hAnsi="Calibri" w:cs="Arial"/>
                                <w:color w:val="000000"/>
                                <w:sz w:val="21"/>
                                <w:szCs w:val="21"/>
                              </w:rPr>
                              <w:t>es en la comuna por un valor de al menos U.F. 1.000.</w:t>
                            </w:r>
                          </w:p>
                          <w:p w:rsidR="00040817" w:rsidRPr="00FA4892" w:rsidRDefault="00040817" w:rsidP="000408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6040E" id="Cuadro de texto 3" o:spid="_x0000_s1027" type="#_x0000_t202" style="position:absolute;left:0;text-align:left;margin-left:0;margin-top:9.6pt;width:470.85pt;height:157.2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" fillcolor="#f2f2f2" stroked="f">
                <v:textbox>
                  <w:txbxContent>
                    <w:p w:rsidR="00040817" w:rsidRDefault="00040817" w:rsidP="00040817">
                      <w:pPr>
                        <w:pStyle w:val="Listavistosa-nfasis11"/>
                        <w:ind w:left="0"/>
                        <w:jc w:val="both"/>
                        <w:rPr>
                          <w:rFonts w:ascii="Calibri" w:hAnsi="Calibri" w:cs="Calibri"/>
                          <w:b/>
                          <w:sz w:val="21"/>
                          <w:szCs w:val="21"/>
                          <w:lang w:val="es-CL"/>
                        </w:rPr>
                      </w:pPr>
                    </w:p>
                    <w:p w:rsidR="00181111" w:rsidRPr="00F84C85" w:rsidRDefault="00181111" w:rsidP="00040817">
                      <w:pPr>
                        <w:pStyle w:val="Listavistosa-nfasis11"/>
                        <w:ind w:left="0"/>
                        <w:jc w:val="both"/>
                        <w:rPr>
                          <w:rFonts w:ascii="Calibri" w:hAnsi="Calibri" w:cs="Calibri"/>
                          <w:b/>
                          <w:sz w:val="21"/>
                          <w:szCs w:val="21"/>
                          <w:lang w:val="es-CL"/>
                        </w:rPr>
                      </w:pPr>
                    </w:p>
                    <w:p w:rsidR="00040817" w:rsidRDefault="00040817" w:rsidP="00040817">
                      <w:pPr>
                        <w:pStyle w:val="Listavistosa-nfasis11"/>
                        <w:ind w:left="0"/>
                        <w:jc w:val="center"/>
                        <w:rPr>
                          <w:rFonts w:ascii="Calibri" w:hAnsi="Calibri" w:cs="Calibri"/>
                          <w:b/>
                          <w:sz w:val="21"/>
                          <w:szCs w:val="21"/>
                          <w:lang w:val="es-CL"/>
                        </w:rPr>
                      </w:pPr>
                      <w:r>
                        <w:rPr>
                          <w:rFonts w:ascii="Calibri" w:hAnsi="Calibri" w:cs="Calibri"/>
                          <w:b/>
                          <w:sz w:val="21"/>
                          <w:szCs w:val="21"/>
                          <w:lang w:val="es-CL"/>
                        </w:rPr>
                        <w:t>Condiciones Especiales comuna de Puerto Natales</w:t>
                      </w:r>
                    </w:p>
                    <w:p w:rsidR="00040817" w:rsidRDefault="00040817" w:rsidP="00040817">
                      <w:pPr>
                        <w:rPr>
                          <w:lang w:val="es-CL"/>
                        </w:rPr>
                      </w:pPr>
                    </w:p>
                    <w:p w:rsidR="00040817" w:rsidRDefault="00040817" w:rsidP="00040817">
                      <w:pPr>
                        <w:numPr>
                          <w:ilvl w:val="0"/>
                          <w:numId w:val="11"/>
                        </w:numPr>
                        <w:ind w:left="714" w:hanging="357"/>
                        <w:jc w:val="both"/>
                        <w:rPr>
                          <w:rFonts w:ascii="Calibri" w:hAnsi="Calibri" w:cs="Arial"/>
                          <w:color w:val="000000"/>
                          <w:sz w:val="21"/>
                          <w:szCs w:val="21"/>
                        </w:rPr>
                      </w:pPr>
                      <w:r w:rsidRPr="00E327EE">
                        <w:rPr>
                          <w:rFonts w:ascii="Calibri" w:hAnsi="Calibri" w:cs="Arial"/>
                          <w:color w:val="000000"/>
                          <w:sz w:val="21"/>
                          <w:szCs w:val="21"/>
                        </w:rPr>
                        <w:t>Oferta Eco</w:t>
                      </w:r>
                      <w:r>
                        <w:rPr>
                          <w:rFonts w:ascii="Calibri" w:hAnsi="Calibri" w:cs="Arial"/>
                          <w:color w:val="000000"/>
                          <w:sz w:val="21"/>
                          <w:szCs w:val="21"/>
                        </w:rPr>
                        <w:t>nómica Mínima Garantizada: U</w:t>
                      </w:r>
                      <w:r w:rsidR="00181111">
                        <w:rPr>
                          <w:rFonts w:ascii="Calibri" w:hAnsi="Calibri" w:cs="Arial"/>
                          <w:color w:val="000000"/>
                          <w:sz w:val="21"/>
                          <w:szCs w:val="21"/>
                        </w:rPr>
                        <w:t>.</w:t>
                      </w:r>
                      <w:r>
                        <w:rPr>
                          <w:rFonts w:ascii="Calibri" w:hAnsi="Calibri" w:cs="Arial"/>
                          <w:color w:val="000000"/>
                          <w:sz w:val="21"/>
                          <w:szCs w:val="21"/>
                        </w:rPr>
                        <w:t>F</w:t>
                      </w:r>
                      <w:r w:rsidR="00181111">
                        <w:rPr>
                          <w:rFonts w:ascii="Calibri" w:hAnsi="Calibri" w:cs="Arial"/>
                          <w:color w:val="000000"/>
                          <w:sz w:val="21"/>
                          <w:szCs w:val="21"/>
                        </w:rPr>
                        <w:t>.</w:t>
                      </w:r>
                      <w:r>
                        <w:rPr>
                          <w:rFonts w:ascii="Calibri" w:hAnsi="Calibri" w:cs="Arial"/>
                          <w:color w:val="000000"/>
                          <w:sz w:val="21"/>
                          <w:szCs w:val="21"/>
                        </w:rPr>
                        <w:t xml:space="preserve"> 13</w:t>
                      </w:r>
                      <w:r w:rsidRPr="00E327EE">
                        <w:rPr>
                          <w:rFonts w:ascii="Calibri" w:hAnsi="Calibri" w:cs="Arial"/>
                          <w:color w:val="000000"/>
                          <w:sz w:val="21"/>
                          <w:szCs w:val="21"/>
                        </w:rPr>
                        <w:t>.000 anuales.</w:t>
                      </w:r>
                      <w:r w:rsidRPr="00040817">
                        <w:rPr>
                          <w:rFonts w:ascii="Calibri" w:hAnsi="Calibri" w:cs="Arial"/>
                          <w:color w:val="000000"/>
                          <w:sz w:val="21"/>
                          <w:szCs w:val="21"/>
                        </w:rPr>
                        <w:t xml:space="preserve"> </w:t>
                      </w:r>
                    </w:p>
                    <w:p w:rsidR="00040817" w:rsidRDefault="00040817" w:rsidP="00040817">
                      <w:pPr>
                        <w:ind w:left="714"/>
                        <w:jc w:val="both"/>
                        <w:rPr>
                          <w:rFonts w:ascii="Calibri" w:hAnsi="Calibri" w:cs="Arial"/>
                          <w:color w:val="000000"/>
                          <w:sz w:val="21"/>
                          <w:szCs w:val="21"/>
                        </w:rPr>
                      </w:pPr>
                    </w:p>
                    <w:p w:rsidR="00040817" w:rsidRPr="00E327EE" w:rsidRDefault="00040817" w:rsidP="00040817">
                      <w:pPr>
                        <w:numPr>
                          <w:ilvl w:val="0"/>
                          <w:numId w:val="11"/>
                        </w:numPr>
                        <w:ind w:left="714" w:hanging="357"/>
                        <w:jc w:val="both"/>
                        <w:rPr>
                          <w:rFonts w:ascii="Calibri" w:hAnsi="Calibri" w:cs="Arial"/>
                          <w:color w:val="000000"/>
                          <w:sz w:val="21"/>
                          <w:szCs w:val="21"/>
                        </w:rPr>
                      </w:pPr>
                      <w:r w:rsidRPr="00E327EE">
                        <w:rPr>
                          <w:rFonts w:ascii="Calibri" w:hAnsi="Calibri" w:cs="Arial"/>
                          <w:color w:val="000000"/>
                          <w:sz w:val="21"/>
                          <w:szCs w:val="21"/>
                        </w:rPr>
                        <w:t>Porcentaje de trabajadores que se desempeñan para el actual concesionario que continuarán prestando servicios: 80%.</w:t>
                      </w:r>
                    </w:p>
                    <w:p w:rsidR="00040817" w:rsidRPr="00E327EE" w:rsidRDefault="00040817" w:rsidP="00040817">
                      <w:pPr>
                        <w:ind w:left="714"/>
                        <w:jc w:val="both"/>
                        <w:rPr>
                          <w:rFonts w:ascii="Calibri" w:hAnsi="Calibri" w:cs="Arial"/>
                          <w:color w:val="000000"/>
                          <w:sz w:val="10"/>
                          <w:szCs w:val="10"/>
                        </w:rPr>
                      </w:pPr>
                    </w:p>
                    <w:p w:rsidR="00040817" w:rsidRPr="00E327EE" w:rsidRDefault="00040817" w:rsidP="00040817">
                      <w:pPr>
                        <w:rPr>
                          <w:rFonts w:ascii="Calibri" w:hAnsi="Calibri" w:cs="Arial"/>
                          <w:color w:val="000000"/>
                          <w:sz w:val="10"/>
                          <w:szCs w:val="10"/>
                        </w:rPr>
                      </w:pPr>
                    </w:p>
                    <w:p w:rsidR="00040817" w:rsidRPr="00F81EF5" w:rsidRDefault="00040817" w:rsidP="00040817">
                      <w:pPr>
                        <w:numPr>
                          <w:ilvl w:val="0"/>
                          <w:numId w:val="11"/>
                        </w:numPr>
                        <w:jc w:val="both"/>
                        <w:rPr>
                          <w:rFonts w:ascii="Calibri" w:hAnsi="Calibri" w:cs="Arial"/>
                          <w:sz w:val="21"/>
                          <w:szCs w:val="21"/>
                        </w:rPr>
                      </w:pPr>
                      <w:r w:rsidRPr="00FA4892">
                        <w:rPr>
                          <w:rFonts w:ascii="Calibri" w:hAnsi="Calibri" w:cs="Calibri"/>
                          <w:sz w:val="21"/>
                          <w:szCs w:val="21"/>
                          <w:lang w:val="es-CL"/>
                        </w:rPr>
                        <w:t>Condiciones de construcción o ampliación de la infraestructura turística:</w:t>
                      </w:r>
                    </w:p>
                    <w:p w:rsidR="00040817" w:rsidRPr="00E327EE" w:rsidRDefault="00040817" w:rsidP="00040817">
                      <w:pPr>
                        <w:jc w:val="both"/>
                        <w:rPr>
                          <w:rFonts w:ascii="Calibri" w:hAnsi="Calibri" w:cs="Arial"/>
                          <w:color w:val="000000"/>
                          <w:sz w:val="10"/>
                          <w:szCs w:val="10"/>
                        </w:rPr>
                      </w:pPr>
                    </w:p>
                    <w:p w:rsidR="00040817" w:rsidRDefault="00040817" w:rsidP="00040817">
                      <w:pPr>
                        <w:ind w:left="720"/>
                      </w:pPr>
                      <w:r>
                        <w:rPr>
                          <w:rFonts w:ascii="Calibri" w:hAnsi="Calibri" w:cs="Arial"/>
                          <w:color w:val="000000"/>
                          <w:sz w:val="21"/>
                          <w:szCs w:val="21"/>
                        </w:rPr>
                        <w:t>Hermoseamiento de áreas verd</w:t>
                      </w:r>
                      <w:r w:rsidR="00181111">
                        <w:rPr>
                          <w:rFonts w:ascii="Calibri" w:hAnsi="Calibri" w:cs="Arial"/>
                          <w:color w:val="000000"/>
                          <w:sz w:val="21"/>
                          <w:szCs w:val="21"/>
                        </w:rPr>
                        <w:t>es en la comuna por un valor de al menos U.F. 1.000.</w:t>
                      </w:r>
                    </w:p>
                    <w:p w:rsidR="00040817" w:rsidRPr="00FA4892" w:rsidRDefault="00040817" w:rsidP="00040817"/>
                  </w:txbxContent>
                </v:textbox>
                <w10:wrap type="square" anchorx="margin"/>
              </v:shape>
            </w:pict>
          </mc:Fallback>
        </mc:AlternateContent>
      </w:r>
    </w:p>
    <w:p w:rsidR="00040817" w:rsidRPr="00181111" w:rsidRDefault="00040817" w:rsidP="006C3A16">
      <w:pPr>
        <w:ind w:right="49"/>
        <w:jc w:val="both"/>
        <w:rPr>
          <w:rFonts w:ascii="Calibri" w:hAnsi="Calibri" w:cs="Calibri"/>
          <w:color w:val="000000"/>
          <w:sz w:val="22"/>
          <w:szCs w:val="22"/>
        </w:rPr>
      </w:pPr>
    </w:p>
    <w:p w:rsidR="00181111" w:rsidRPr="00181111" w:rsidRDefault="00181111" w:rsidP="00181111">
      <w:pPr>
        <w:ind w:right="49"/>
        <w:jc w:val="both"/>
        <w:rPr>
          <w:rFonts w:ascii="Calibri" w:hAnsi="Calibri" w:cs="Calibri"/>
          <w:color w:val="000000"/>
          <w:sz w:val="22"/>
          <w:szCs w:val="22"/>
        </w:rPr>
      </w:pPr>
      <w:r>
        <w:rPr>
          <w:rFonts w:ascii="Calibri" w:hAnsi="Calibri" w:cs="Calibri"/>
          <w:color w:val="000000"/>
          <w:sz w:val="22"/>
          <w:szCs w:val="22"/>
        </w:rPr>
        <w:t xml:space="preserve">Cabe recordar, que </w:t>
      </w:r>
      <w:r w:rsidRPr="00181111">
        <w:rPr>
          <w:rFonts w:ascii="Calibri" w:hAnsi="Calibri" w:cs="Calibri"/>
          <w:color w:val="000000"/>
          <w:sz w:val="22"/>
          <w:szCs w:val="22"/>
        </w:rPr>
        <w:t xml:space="preserve">la </w:t>
      </w:r>
      <w:r>
        <w:rPr>
          <w:rFonts w:ascii="Calibri" w:hAnsi="Calibri" w:cs="Calibri"/>
          <w:color w:val="000000"/>
          <w:sz w:val="22"/>
          <w:szCs w:val="22"/>
        </w:rPr>
        <w:t>Superintendencia debe iniciar este</w:t>
      </w:r>
      <w:r w:rsidRPr="00181111">
        <w:rPr>
          <w:rFonts w:ascii="Calibri" w:hAnsi="Calibri" w:cs="Calibri"/>
          <w:color w:val="000000"/>
          <w:sz w:val="22"/>
          <w:szCs w:val="22"/>
        </w:rPr>
        <w:t xml:space="preserve"> nuevo proceso en Natales, luego que en el primer proceso que concluyó en junio de 2018 no se presentaran oferentes para esa comuna.</w:t>
      </w:r>
      <w:r>
        <w:rPr>
          <w:rFonts w:ascii="Calibri" w:hAnsi="Calibri" w:cs="Calibri"/>
          <w:color w:val="000000"/>
          <w:sz w:val="22"/>
          <w:szCs w:val="22"/>
        </w:rPr>
        <w:t xml:space="preserve"> En esa oportunidad, la Oferta Económica Mínima Garantizada era de U.F. 14.000 anuales y se consideraba además un </w:t>
      </w:r>
      <w:r w:rsidRPr="00181111">
        <w:rPr>
          <w:rFonts w:ascii="Calibri" w:hAnsi="Calibri" w:cs="Calibri"/>
          <w:color w:val="000000"/>
          <w:sz w:val="22"/>
          <w:szCs w:val="22"/>
        </w:rPr>
        <w:t>Centro de Eventos con capacidad al menos para 300 personas</w:t>
      </w:r>
      <w:r>
        <w:rPr>
          <w:rFonts w:ascii="Calibri" w:hAnsi="Calibri" w:cs="Calibri"/>
          <w:color w:val="000000"/>
          <w:sz w:val="22"/>
          <w:szCs w:val="22"/>
        </w:rPr>
        <w:t>.</w:t>
      </w:r>
    </w:p>
    <w:p w:rsidR="00040817" w:rsidRDefault="00040817" w:rsidP="006C3A16">
      <w:pPr>
        <w:ind w:right="49"/>
        <w:jc w:val="both"/>
        <w:rPr>
          <w:rFonts w:ascii="Calibri" w:hAnsi="Calibri" w:cs="Calibri"/>
          <w:b/>
          <w:sz w:val="21"/>
          <w:szCs w:val="21"/>
          <w:lang w:val="es-CL"/>
        </w:rPr>
      </w:pPr>
    </w:p>
    <w:p w:rsidR="000F726E" w:rsidRDefault="000F726E" w:rsidP="006C3A16">
      <w:pPr>
        <w:ind w:right="49"/>
        <w:jc w:val="both"/>
        <w:rPr>
          <w:rFonts w:ascii="Calibri" w:hAnsi="Calibri" w:cs="Calibri"/>
          <w:color w:val="000000"/>
          <w:sz w:val="22"/>
          <w:szCs w:val="22"/>
        </w:rPr>
      </w:pPr>
    </w:p>
    <w:p w:rsidR="00181111" w:rsidRDefault="00181111" w:rsidP="006C3A16">
      <w:pPr>
        <w:ind w:right="49"/>
        <w:jc w:val="both"/>
        <w:rPr>
          <w:rFonts w:ascii="Calibri" w:hAnsi="Calibri" w:cs="Calibri"/>
          <w:color w:val="000000"/>
          <w:sz w:val="22"/>
          <w:szCs w:val="22"/>
        </w:rPr>
      </w:pPr>
    </w:p>
    <w:sectPr w:rsidR="00181111" w:rsidSect="00FE532E">
      <w:headerReference w:type="default" r:id="rId9"/>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FFD" w:rsidRDefault="00014FFD" w:rsidP="00B15F33">
      <w:r>
        <w:separator/>
      </w:r>
    </w:p>
  </w:endnote>
  <w:endnote w:type="continuationSeparator" w:id="0">
    <w:p w:rsidR="00014FFD" w:rsidRDefault="00014FFD"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FFD" w:rsidRDefault="00014FFD" w:rsidP="00B15F33">
      <w:r>
        <w:separator/>
      </w:r>
    </w:p>
  </w:footnote>
  <w:footnote w:type="continuationSeparator" w:id="0">
    <w:p w:rsidR="00014FFD" w:rsidRDefault="00014FFD"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1C3" w:rsidRPr="00C04044" w:rsidRDefault="00D065D5">
    <w:pPr>
      <w:pStyle w:val="Encabezado"/>
      <w:rPr>
        <w:lang w:val="es-CL"/>
      </w:rPr>
    </w:pPr>
    <w:r>
      <w:rPr>
        <w:noProof/>
        <w:lang w:val="es-CL" w:eastAsia="es-CL"/>
      </w:rPr>
      <w:drawing>
        <wp:inline distT="0" distB="0" distL="0" distR="0">
          <wp:extent cx="2489200" cy="673100"/>
          <wp:effectExtent l="0" t="0" r="0" b="12700"/>
          <wp:docPr id="1"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DA3CB2"/>
    <w:multiLevelType w:val="hybridMultilevel"/>
    <w:tmpl w:val="6A64E646"/>
    <w:lvl w:ilvl="0" w:tplc="0C0A000F">
      <w:start w:val="1"/>
      <w:numFmt w:val="decimal"/>
      <w:lvlText w:val="%1."/>
      <w:lvlJc w:val="left"/>
      <w:pPr>
        <w:ind w:left="720" w:hanging="360"/>
      </w:pPr>
      <w:rPr>
        <w:rFonts w:hint="default"/>
        <w:b w:val="0"/>
        <w:i w:val="0"/>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1C646C"/>
    <w:multiLevelType w:val="hybridMultilevel"/>
    <w:tmpl w:val="86F297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747A4921"/>
    <w:multiLevelType w:val="hybridMultilevel"/>
    <w:tmpl w:val="513273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1"/>
  </w:num>
  <w:num w:numId="5">
    <w:abstractNumId w:val="7"/>
  </w:num>
  <w:num w:numId="6">
    <w:abstractNumId w:val="1"/>
  </w:num>
  <w:num w:numId="7">
    <w:abstractNumId w:val="0"/>
  </w:num>
  <w:num w:numId="8">
    <w:abstractNumId w:val="9"/>
  </w:num>
  <w:num w:numId="9">
    <w:abstractNumId w:val="4"/>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14FFD"/>
    <w:rsid w:val="000156D7"/>
    <w:rsid w:val="00023C4A"/>
    <w:rsid w:val="00033B78"/>
    <w:rsid w:val="000367D4"/>
    <w:rsid w:val="00040005"/>
    <w:rsid w:val="00040817"/>
    <w:rsid w:val="00043DAA"/>
    <w:rsid w:val="000456DE"/>
    <w:rsid w:val="00045C67"/>
    <w:rsid w:val="000631C9"/>
    <w:rsid w:val="000669B6"/>
    <w:rsid w:val="000678EE"/>
    <w:rsid w:val="000719FC"/>
    <w:rsid w:val="00072518"/>
    <w:rsid w:val="00075ECD"/>
    <w:rsid w:val="000770DE"/>
    <w:rsid w:val="00082B61"/>
    <w:rsid w:val="00086885"/>
    <w:rsid w:val="00086CD4"/>
    <w:rsid w:val="0009050A"/>
    <w:rsid w:val="0009533D"/>
    <w:rsid w:val="000973A9"/>
    <w:rsid w:val="000A075D"/>
    <w:rsid w:val="000A309C"/>
    <w:rsid w:val="000A3743"/>
    <w:rsid w:val="000A741C"/>
    <w:rsid w:val="000B0CBE"/>
    <w:rsid w:val="000C00C7"/>
    <w:rsid w:val="000C19C6"/>
    <w:rsid w:val="000C2206"/>
    <w:rsid w:val="000C3D49"/>
    <w:rsid w:val="000C3DA6"/>
    <w:rsid w:val="000C54DE"/>
    <w:rsid w:val="000C61F5"/>
    <w:rsid w:val="000C66E6"/>
    <w:rsid w:val="000D03F0"/>
    <w:rsid w:val="000D49CB"/>
    <w:rsid w:val="000D4E3B"/>
    <w:rsid w:val="000D5E31"/>
    <w:rsid w:val="000D7C7C"/>
    <w:rsid w:val="000E3507"/>
    <w:rsid w:val="000E7E94"/>
    <w:rsid w:val="000F0BE5"/>
    <w:rsid w:val="000F3CA4"/>
    <w:rsid w:val="000F472C"/>
    <w:rsid w:val="000F5601"/>
    <w:rsid w:val="000F5780"/>
    <w:rsid w:val="000F726E"/>
    <w:rsid w:val="0010456A"/>
    <w:rsid w:val="00107786"/>
    <w:rsid w:val="0011166B"/>
    <w:rsid w:val="00116422"/>
    <w:rsid w:val="0011757E"/>
    <w:rsid w:val="00120E98"/>
    <w:rsid w:val="0013341D"/>
    <w:rsid w:val="001345C4"/>
    <w:rsid w:val="001352E6"/>
    <w:rsid w:val="00137D4B"/>
    <w:rsid w:val="001409C3"/>
    <w:rsid w:val="00143ADD"/>
    <w:rsid w:val="001447CC"/>
    <w:rsid w:val="00151994"/>
    <w:rsid w:val="00151C1B"/>
    <w:rsid w:val="00151FEA"/>
    <w:rsid w:val="00164BC5"/>
    <w:rsid w:val="001675DF"/>
    <w:rsid w:val="001676EC"/>
    <w:rsid w:val="0017003C"/>
    <w:rsid w:val="001704B8"/>
    <w:rsid w:val="00171D60"/>
    <w:rsid w:val="00173F28"/>
    <w:rsid w:val="001742EA"/>
    <w:rsid w:val="00174D3E"/>
    <w:rsid w:val="00176C2A"/>
    <w:rsid w:val="00181111"/>
    <w:rsid w:val="00181ADC"/>
    <w:rsid w:val="001831AB"/>
    <w:rsid w:val="00183FDC"/>
    <w:rsid w:val="00184ABF"/>
    <w:rsid w:val="00187EB2"/>
    <w:rsid w:val="0019435B"/>
    <w:rsid w:val="00195FA9"/>
    <w:rsid w:val="00196495"/>
    <w:rsid w:val="00196964"/>
    <w:rsid w:val="00197563"/>
    <w:rsid w:val="001A0A26"/>
    <w:rsid w:val="001A50F2"/>
    <w:rsid w:val="001A7C43"/>
    <w:rsid w:val="001A7D2B"/>
    <w:rsid w:val="001B0D2C"/>
    <w:rsid w:val="001B15F5"/>
    <w:rsid w:val="001B3169"/>
    <w:rsid w:val="001C09F1"/>
    <w:rsid w:val="001D09F7"/>
    <w:rsid w:val="001D56DF"/>
    <w:rsid w:val="001D720C"/>
    <w:rsid w:val="001E0795"/>
    <w:rsid w:val="001E17A0"/>
    <w:rsid w:val="001E28B2"/>
    <w:rsid w:val="001E7024"/>
    <w:rsid w:val="001F100E"/>
    <w:rsid w:val="00201CFC"/>
    <w:rsid w:val="00201DCE"/>
    <w:rsid w:val="00202E1E"/>
    <w:rsid w:val="00206BA8"/>
    <w:rsid w:val="00222133"/>
    <w:rsid w:val="00224782"/>
    <w:rsid w:val="00225766"/>
    <w:rsid w:val="002277BC"/>
    <w:rsid w:val="0023635A"/>
    <w:rsid w:val="002365F3"/>
    <w:rsid w:val="00250560"/>
    <w:rsid w:val="00251BFE"/>
    <w:rsid w:val="00252A9B"/>
    <w:rsid w:val="00253365"/>
    <w:rsid w:val="00261CDD"/>
    <w:rsid w:val="00262F82"/>
    <w:rsid w:val="00266FCE"/>
    <w:rsid w:val="00267CA8"/>
    <w:rsid w:val="00274BB7"/>
    <w:rsid w:val="0028641D"/>
    <w:rsid w:val="0029288A"/>
    <w:rsid w:val="00294CCD"/>
    <w:rsid w:val="00295D24"/>
    <w:rsid w:val="00297558"/>
    <w:rsid w:val="002A6032"/>
    <w:rsid w:val="002B3F92"/>
    <w:rsid w:val="002B459C"/>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57F1"/>
    <w:rsid w:val="002F7F47"/>
    <w:rsid w:val="00300450"/>
    <w:rsid w:val="0030475B"/>
    <w:rsid w:val="00310938"/>
    <w:rsid w:val="00311B53"/>
    <w:rsid w:val="00313917"/>
    <w:rsid w:val="00313ABA"/>
    <w:rsid w:val="00314C93"/>
    <w:rsid w:val="00317B44"/>
    <w:rsid w:val="00322C9E"/>
    <w:rsid w:val="003240D8"/>
    <w:rsid w:val="003261DB"/>
    <w:rsid w:val="003335EF"/>
    <w:rsid w:val="0033380E"/>
    <w:rsid w:val="003531CD"/>
    <w:rsid w:val="0035714B"/>
    <w:rsid w:val="0036086C"/>
    <w:rsid w:val="00365464"/>
    <w:rsid w:val="003665B8"/>
    <w:rsid w:val="00370C26"/>
    <w:rsid w:val="00380094"/>
    <w:rsid w:val="0038167A"/>
    <w:rsid w:val="0038183B"/>
    <w:rsid w:val="00391F10"/>
    <w:rsid w:val="00395FCA"/>
    <w:rsid w:val="003A06AB"/>
    <w:rsid w:val="003A450E"/>
    <w:rsid w:val="003A47D5"/>
    <w:rsid w:val="003A4BD3"/>
    <w:rsid w:val="003A4E01"/>
    <w:rsid w:val="003A6672"/>
    <w:rsid w:val="003A7BA3"/>
    <w:rsid w:val="003B01CB"/>
    <w:rsid w:val="003D1BB1"/>
    <w:rsid w:val="003D53AE"/>
    <w:rsid w:val="003D5DDE"/>
    <w:rsid w:val="003E236C"/>
    <w:rsid w:val="003F0917"/>
    <w:rsid w:val="003F17D8"/>
    <w:rsid w:val="003F353E"/>
    <w:rsid w:val="003F7AC8"/>
    <w:rsid w:val="00403B1C"/>
    <w:rsid w:val="00412841"/>
    <w:rsid w:val="00417525"/>
    <w:rsid w:val="0042024E"/>
    <w:rsid w:val="00430277"/>
    <w:rsid w:val="00430BBF"/>
    <w:rsid w:val="00432B82"/>
    <w:rsid w:val="00441E00"/>
    <w:rsid w:val="00442B3E"/>
    <w:rsid w:val="00442EAB"/>
    <w:rsid w:val="00446343"/>
    <w:rsid w:val="0044726D"/>
    <w:rsid w:val="00450966"/>
    <w:rsid w:val="00450BD0"/>
    <w:rsid w:val="0045375B"/>
    <w:rsid w:val="00466B2D"/>
    <w:rsid w:val="00472FCD"/>
    <w:rsid w:val="004748D5"/>
    <w:rsid w:val="00477BF0"/>
    <w:rsid w:val="00486092"/>
    <w:rsid w:val="00490B41"/>
    <w:rsid w:val="00492DD8"/>
    <w:rsid w:val="0049455E"/>
    <w:rsid w:val="00495C60"/>
    <w:rsid w:val="00497685"/>
    <w:rsid w:val="004A1765"/>
    <w:rsid w:val="004A3344"/>
    <w:rsid w:val="004A5313"/>
    <w:rsid w:val="004B616F"/>
    <w:rsid w:val="004B6465"/>
    <w:rsid w:val="004B7411"/>
    <w:rsid w:val="004B79B1"/>
    <w:rsid w:val="004D1C68"/>
    <w:rsid w:val="004E04E2"/>
    <w:rsid w:val="004E1B12"/>
    <w:rsid w:val="004F1266"/>
    <w:rsid w:val="004F1F83"/>
    <w:rsid w:val="004F2787"/>
    <w:rsid w:val="004F51D3"/>
    <w:rsid w:val="005015A7"/>
    <w:rsid w:val="00510B93"/>
    <w:rsid w:val="005209DF"/>
    <w:rsid w:val="005236F9"/>
    <w:rsid w:val="00525B4B"/>
    <w:rsid w:val="00525E9C"/>
    <w:rsid w:val="005317C1"/>
    <w:rsid w:val="00537134"/>
    <w:rsid w:val="0054102E"/>
    <w:rsid w:val="005416B1"/>
    <w:rsid w:val="0054207B"/>
    <w:rsid w:val="005477A4"/>
    <w:rsid w:val="00547ABD"/>
    <w:rsid w:val="00550848"/>
    <w:rsid w:val="005514BF"/>
    <w:rsid w:val="0055158A"/>
    <w:rsid w:val="005535A2"/>
    <w:rsid w:val="00554AAA"/>
    <w:rsid w:val="0055544F"/>
    <w:rsid w:val="00564AC9"/>
    <w:rsid w:val="005715BB"/>
    <w:rsid w:val="005725EB"/>
    <w:rsid w:val="0057495F"/>
    <w:rsid w:val="00583F8C"/>
    <w:rsid w:val="00585AC3"/>
    <w:rsid w:val="005915E3"/>
    <w:rsid w:val="00591D2F"/>
    <w:rsid w:val="0059367B"/>
    <w:rsid w:val="00593FE5"/>
    <w:rsid w:val="00597F7C"/>
    <w:rsid w:val="005A01DC"/>
    <w:rsid w:val="005B02CE"/>
    <w:rsid w:val="005B3F00"/>
    <w:rsid w:val="005B41A9"/>
    <w:rsid w:val="005B6A3F"/>
    <w:rsid w:val="005B7F84"/>
    <w:rsid w:val="005C3D80"/>
    <w:rsid w:val="005C4D21"/>
    <w:rsid w:val="005C5FDA"/>
    <w:rsid w:val="005C7EEA"/>
    <w:rsid w:val="005D4E66"/>
    <w:rsid w:val="005D63FE"/>
    <w:rsid w:val="005E147C"/>
    <w:rsid w:val="005E4666"/>
    <w:rsid w:val="005E4DC5"/>
    <w:rsid w:val="005E5738"/>
    <w:rsid w:val="005E59EA"/>
    <w:rsid w:val="005E6860"/>
    <w:rsid w:val="005F03DE"/>
    <w:rsid w:val="005F1F13"/>
    <w:rsid w:val="005F1F17"/>
    <w:rsid w:val="0060137D"/>
    <w:rsid w:val="0060673B"/>
    <w:rsid w:val="00606F73"/>
    <w:rsid w:val="00611B7F"/>
    <w:rsid w:val="0061233D"/>
    <w:rsid w:val="00612595"/>
    <w:rsid w:val="00612843"/>
    <w:rsid w:val="00612946"/>
    <w:rsid w:val="006143E5"/>
    <w:rsid w:val="00614742"/>
    <w:rsid w:val="006171B7"/>
    <w:rsid w:val="00617A3E"/>
    <w:rsid w:val="0062002C"/>
    <w:rsid w:val="0062407C"/>
    <w:rsid w:val="00633984"/>
    <w:rsid w:val="00634469"/>
    <w:rsid w:val="006345D9"/>
    <w:rsid w:val="00636735"/>
    <w:rsid w:val="006472E0"/>
    <w:rsid w:val="006475EC"/>
    <w:rsid w:val="00650F26"/>
    <w:rsid w:val="00651206"/>
    <w:rsid w:val="0065241B"/>
    <w:rsid w:val="00652EE4"/>
    <w:rsid w:val="00653A2F"/>
    <w:rsid w:val="00655277"/>
    <w:rsid w:val="00656FAD"/>
    <w:rsid w:val="00657287"/>
    <w:rsid w:val="0065764F"/>
    <w:rsid w:val="00657F9F"/>
    <w:rsid w:val="00660902"/>
    <w:rsid w:val="0066236B"/>
    <w:rsid w:val="00663C49"/>
    <w:rsid w:val="0066510B"/>
    <w:rsid w:val="006671D4"/>
    <w:rsid w:val="00670AF7"/>
    <w:rsid w:val="00672C19"/>
    <w:rsid w:val="006812EE"/>
    <w:rsid w:val="00681FAD"/>
    <w:rsid w:val="006841FD"/>
    <w:rsid w:val="00685974"/>
    <w:rsid w:val="00685B9F"/>
    <w:rsid w:val="00690D4E"/>
    <w:rsid w:val="00696C86"/>
    <w:rsid w:val="00696E7C"/>
    <w:rsid w:val="006A1743"/>
    <w:rsid w:val="006A2020"/>
    <w:rsid w:val="006A2B7F"/>
    <w:rsid w:val="006A4223"/>
    <w:rsid w:val="006A46F3"/>
    <w:rsid w:val="006A4CFF"/>
    <w:rsid w:val="006B7B2A"/>
    <w:rsid w:val="006C0ACE"/>
    <w:rsid w:val="006C24CD"/>
    <w:rsid w:val="006C2D01"/>
    <w:rsid w:val="006C3A16"/>
    <w:rsid w:val="006C478A"/>
    <w:rsid w:val="006C4EE2"/>
    <w:rsid w:val="006C6218"/>
    <w:rsid w:val="006D4595"/>
    <w:rsid w:val="006D538B"/>
    <w:rsid w:val="006D688E"/>
    <w:rsid w:val="006E0275"/>
    <w:rsid w:val="006E02AA"/>
    <w:rsid w:val="006E0A35"/>
    <w:rsid w:val="006E59E2"/>
    <w:rsid w:val="006E6058"/>
    <w:rsid w:val="006E6F23"/>
    <w:rsid w:val="006F0DE6"/>
    <w:rsid w:val="006F1C4C"/>
    <w:rsid w:val="006F3E19"/>
    <w:rsid w:val="006F4740"/>
    <w:rsid w:val="00700F05"/>
    <w:rsid w:val="00701F47"/>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41BF7"/>
    <w:rsid w:val="00743469"/>
    <w:rsid w:val="0074372C"/>
    <w:rsid w:val="00743CC1"/>
    <w:rsid w:val="00744AA0"/>
    <w:rsid w:val="00745289"/>
    <w:rsid w:val="007470C3"/>
    <w:rsid w:val="0075252E"/>
    <w:rsid w:val="00752782"/>
    <w:rsid w:val="00752DE6"/>
    <w:rsid w:val="007637DC"/>
    <w:rsid w:val="00764873"/>
    <w:rsid w:val="00767E87"/>
    <w:rsid w:val="00771220"/>
    <w:rsid w:val="007730C0"/>
    <w:rsid w:val="00775477"/>
    <w:rsid w:val="00775BC3"/>
    <w:rsid w:val="00775DCB"/>
    <w:rsid w:val="007817F7"/>
    <w:rsid w:val="00790322"/>
    <w:rsid w:val="00790DF5"/>
    <w:rsid w:val="0079275F"/>
    <w:rsid w:val="00795606"/>
    <w:rsid w:val="007A132A"/>
    <w:rsid w:val="007A3342"/>
    <w:rsid w:val="007B4216"/>
    <w:rsid w:val="007B4801"/>
    <w:rsid w:val="007B54F4"/>
    <w:rsid w:val="007C01C3"/>
    <w:rsid w:val="007C5471"/>
    <w:rsid w:val="007D0898"/>
    <w:rsid w:val="007D7E7B"/>
    <w:rsid w:val="007E0A10"/>
    <w:rsid w:val="007E489C"/>
    <w:rsid w:val="007E6A3D"/>
    <w:rsid w:val="007F0F33"/>
    <w:rsid w:val="007F39BE"/>
    <w:rsid w:val="007F69FF"/>
    <w:rsid w:val="007F6D13"/>
    <w:rsid w:val="007F7F96"/>
    <w:rsid w:val="00804EB4"/>
    <w:rsid w:val="0080717E"/>
    <w:rsid w:val="00814FC9"/>
    <w:rsid w:val="0081611E"/>
    <w:rsid w:val="00817648"/>
    <w:rsid w:val="00817BB3"/>
    <w:rsid w:val="00823186"/>
    <w:rsid w:val="00830B4C"/>
    <w:rsid w:val="00831235"/>
    <w:rsid w:val="008336FE"/>
    <w:rsid w:val="0083457C"/>
    <w:rsid w:val="0083547D"/>
    <w:rsid w:val="00835C8C"/>
    <w:rsid w:val="008364A1"/>
    <w:rsid w:val="0084434F"/>
    <w:rsid w:val="008459BC"/>
    <w:rsid w:val="008508EB"/>
    <w:rsid w:val="0085130B"/>
    <w:rsid w:val="0085380A"/>
    <w:rsid w:val="00856252"/>
    <w:rsid w:val="00856344"/>
    <w:rsid w:val="00866A83"/>
    <w:rsid w:val="00867861"/>
    <w:rsid w:val="008771B8"/>
    <w:rsid w:val="0088259B"/>
    <w:rsid w:val="0089082D"/>
    <w:rsid w:val="0089404A"/>
    <w:rsid w:val="008A2CA8"/>
    <w:rsid w:val="008A7152"/>
    <w:rsid w:val="008B0AE0"/>
    <w:rsid w:val="008B17EB"/>
    <w:rsid w:val="008B2438"/>
    <w:rsid w:val="008C191D"/>
    <w:rsid w:val="008C3BC7"/>
    <w:rsid w:val="008D4433"/>
    <w:rsid w:val="008D56CB"/>
    <w:rsid w:val="008D7D78"/>
    <w:rsid w:val="008E0E61"/>
    <w:rsid w:val="008E29F8"/>
    <w:rsid w:val="008E6D14"/>
    <w:rsid w:val="008F1A2D"/>
    <w:rsid w:val="008F1AE6"/>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571"/>
    <w:rsid w:val="00932681"/>
    <w:rsid w:val="0093785A"/>
    <w:rsid w:val="009400BB"/>
    <w:rsid w:val="00946E80"/>
    <w:rsid w:val="009506DE"/>
    <w:rsid w:val="00952C6B"/>
    <w:rsid w:val="00954CFD"/>
    <w:rsid w:val="00954F2D"/>
    <w:rsid w:val="00956D34"/>
    <w:rsid w:val="00956DE4"/>
    <w:rsid w:val="009648AF"/>
    <w:rsid w:val="009657FF"/>
    <w:rsid w:val="009664DF"/>
    <w:rsid w:val="009718D2"/>
    <w:rsid w:val="009807A6"/>
    <w:rsid w:val="00981D25"/>
    <w:rsid w:val="009857C8"/>
    <w:rsid w:val="009858AF"/>
    <w:rsid w:val="00990AB4"/>
    <w:rsid w:val="00993638"/>
    <w:rsid w:val="00993A1A"/>
    <w:rsid w:val="0099692E"/>
    <w:rsid w:val="009A1949"/>
    <w:rsid w:val="009A1C9B"/>
    <w:rsid w:val="009A3A4D"/>
    <w:rsid w:val="009A780F"/>
    <w:rsid w:val="009B1539"/>
    <w:rsid w:val="009B4FEF"/>
    <w:rsid w:val="009B562A"/>
    <w:rsid w:val="009B6684"/>
    <w:rsid w:val="009B72AB"/>
    <w:rsid w:val="009B7DE5"/>
    <w:rsid w:val="009C0FDC"/>
    <w:rsid w:val="009C365C"/>
    <w:rsid w:val="009C6A2B"/>
    <w:rsid w:val="009C752F"/>
    <w:rsid w:val="009D0B57"/>
    <w:rsid w:val="009D143D"/>
    <w:rsid w:val="009D3B6E"/>
    <w:rsid w:val="009E0D7D"/>
    <w:rsid w:val="009E181C"/>
    <w:rsid w:val="009E509E"/>
    <w:rsid w:val="009E555D"/>
    <w:rsid w:val="009E5A0D"/>
    <w:rsid w:val="009E5D35"/>
    <w:rsid w:val="009F719E"/>
    <w:rsid w:val="009F77AC"/>
    <w:rsid w:val="00A00D68"/>
    <w:rsid w:val="00A014C9"/>
    <w:rsid w:val="00A03738"/>
    <w:rsid w:val="00A0525C"/>
    <w:rsid w:val="00A10F87"/>
    <w:rsid w:val="00A11A25"/>
    <w:rsid w:val="00A1258C"/>
    <w:rsid w:val="00A13929"/>
    <w:rsid w:val="00A13A17"/>
    <w:rsid w:val="00A14CF0"/>
    <w:rsid w:val="00A30731"/>
    <w:rsid w:val="00A30B4D"/>
    <w:rsid w:val="00A34A97"/>
    <w:rsid w:val="00A35ED2"/>
    <w:rsid w:val="00A41F53"/>
    <w:rsid w:val="00A445FA"/>
    <w:rsid w:val="00A46128"/>
    <w:rsid w:val="00A47226"/>
    <w:rsid w:val="00A47D7B"/>
    <w:rsid w:val="00A47FBE"/>
    <w:rsid w:val="00A5024B"/>
    <w:rsid w:val="00A54B31"/>
    <w:rsid w:val="00A5730A"/>
    <w:rsid w:val="00A57648"/>
    <w:rsid w:val="00A60232"/>
    <w:rsid w:val="00A60FD3"/>
    <w:rsid w:val="00A64E9D"/>
    <w:rsid w:val="00A64EAD"/>
    <w:rsid w:val="00A74C26"/>
    <w:rsid w:val="00A763F2"/>
    <w:rsid w:val="00A765E2"/>
    <w:rsid w:val="00A822EF"/>
    <w:rsid w:val="00A829B9"/>
    <w:rsid w:val="00A85344"/>
    <w:rsid w:val="00A85D11"/>
    <w:rsid w:val="00A9318F"/>
    <w:rsid w:val="00A93853"/>
    <w:rsid w:val="00A95C6E"/>
    <w:rsid w:val="00A96678"/>
    <w:rsid w:val="00AA1549"/>
    <w:rsid w:val="00AA1A9E"/>
    <w:rsid w:val="00AA4144"/>
    <w:rsid w:val="00AA6688"/>
    <w:rsid w:val="00AB3FBE"/>
    <w:rsid w:val="00AC0779"/>
    <w:rsid w:val="00AC2660"/>
    <w:rsid w:val="00AC5FD3"/>
    <w:rsid w:val="00AC769F"/>
    <w:rsid w:val="00AD14F3"/>
    <w:rsid w:val="00AD1F29"/>
    <w:rsid w:val="00AD3705"/>
    <w:rsid w:val="00AD45C6"/>
    <w:rsid w:val="00AD4E16"/>
    <w:rsid w:val="00AD5D12"/>
    <w:rsid w:val="00AE2F0E"/>
    <w:rsid w:val="00AE364F"/>
    <w:rsid w:val="00AE3E34"/>
    <w:rsid w:val="00B02441"/>
    <w:rsid w:val="00B076E2"/>
    <w:rsid w:val="00B07CBC"/>
    <w:rsid w:val="00B148E5"/>
    <w:rsid w:val="00B15F33"/>
    <w:rsid w:val="00B16B4A"/>
    <w:rsid w:val="00B17BDA"/>
    <w:rsid w:val="00B21D6F"/>
    <w:rsid w:val="00B24972"/>
    <w:rsid w:val="00B25734"/>
    <w:rsid w:val="00B31EA7"/>
    <w:rsid w:val="00B35519"/>
    <w:rsid w:val="00B35DF1"/>
    <w:rsid w:val="00B3653A"/>
    <w:rsid w:val="00B40A79"/>
    <w:rsid w:val="00B42418"/>
    <w:rsid w:val="00B45527"/>
    <w:rsid w:val="00B4741E"/>
    <w:rsid w:val="00B47D96"/>
    <w:rsid w:val="00B517D7"/>
    <w:rsid w:val="00B52207"/>
    <w:rsid w:val="00B54C59"/>
    <w:rsid w:val="00B55B9D"/>
    <w:rsid w:val="00B6336B"/>
    <w:rsid w:val="00B641F0"/>
    <w:rsid w:val="00B745B9"/>
    <w:rsid w:val="00B8128E"/>
    <w:rsid w:val="00B84EBD"/>
    <w:rsid w:val="00B91395"/>
    <w:rsid w:val="00BA353B"/>
    <w:rsid w:val="00BB0863"/>
    <w:rsid w:val="00BB63AA"/>
    <w:rsid w:val="00BC09BF"/>
    <w:rsid w:val="00BC0C10"/>
    <w:rsid w:val="00BC22DD"/>
    <w:rsid w:val="00BC4409"/>
    <w:rsid w:val="00BC6AF3"/>
    <w:rsid w:val="00BD1234"/>
    <w:rsid w:val="00BD1A01"/>
    <w:rsid w:val="00BD1B46"/>
    <w:rsid w:val="00BD1B77"/>
    <w:rsid w:val="00BD586C"/>
    <w:rsid w:val="00BF25E5"/>
    <w:rsid w:val="00BF77EE"/>
    <w:rsid w:val="00BF7B6B"/>
    <w:rsid w:val="00C00C89"/>
    <w:rsid w:val="00C04044"/>
    <w:rsid w:val="00C056BC"/>
    <w:rsid w:val="00C05929"/>
    <w:rsid w:val="00C11AA0"/>
    <w:rsid w:val="00C13E88"/>
    <w:rsid w:val="00C13FB1"/>
    <w:rsid w:val="00C14EDE"/>
    <w:rsid w:val="00C217AA"/>
    <w:rsid w:val="00C2187D"/>
    <w:rsid w:val="00C21E3C"/>
    <w:rsid w:val="00C22E83"/>
    <w:rsid w:val="00C3314A"/>
    <w:rsid w:val="00C3623E"/>
    <w:rsid w:val="00C43BC1"/>
    <w:rsid w:val="00C450BE"/>
    <w:rsid w:val="00C50A2C"/>
    <w:rsid w:val="00C50EF2"/>
    <w:rsid w:val="00C50FEC"/>
    <w:rsid w:val="00C5316A"/>
    <w:rsid w:val="00C54DFE"/>
    <w:rsid w:val="00C5624D"/>
    <w:rsid w:val="00C57B9E"/>
    <w:rsid w:val="00C72FF3"/>
    <w:rsid w:val="00C74C28"/>
    <w:rsid w:val="00C9034A"/>
    <w:rsid w:val="00C93EF1"/>
    <w:rsid w:val="00C9676B"/>
    <w:rsid w:val="00CA0333"/>
    <w:rsid w:val="00CB10B8"/>
    <w:rsid w:val="00CB1E5C"/>
    <w:rsid w:val="00CB5ED6"/>
    <w:rsid w:val="00CB74D0"/>
    <w:rsid w:val="00CC2A24"/>
    <w:rsid w:val="00CC324C"/>
    <w:rsid w:val="00CC4574"/>
    <w:rsid w:val="00CD20C0"/>
    <w:rsid w:val="00CD3316"/>
    <w:rsid w:val="00CD6A8E"/>
    <w:rsid w:val="00CE0AED"/>
    <w:rsid w:val="00CE2C88"/>
    <w:rsid w:val="00CE3538"/>
    <w:rsid w:val="00CE6982"/>
    <w:rsid w:val="00CF14E5"/>
    <w:rsid w:val="00D01641"/>
    <w:rsid w:val="00D04ACA"/>
    <w:rsid w:val="00D065D5"/>
    <w:rsid w:val="00D1151D"/>
    <w:rsid w:val="00D11627"/>
    <w:rsid w:val="00D11AD6"/>
    <w:rsid w:val="00D217D9"/>
    <w:rsid w:val="00D22A47"/>
    <w:rsid w:val="00D25390"/>
    <w:rsid w:val="00D27FE6"/>
    <w:rsid w:val="00D27FFD"/>
    <w:rsid w:val="00D3289E"/>
    <w:rsid w:val="00D36004"/>
    <w:rsid w:val="00D4056F"/>
    <w:rsid w:val="00D5491F"/>
    <w:rsid w:val="00D55CDB"/>
    <w:rsid w:val="00D610AB"/>
    <w:rsid w:val="00D61D44"/>
    <w:rsid w:val="00D63C8B"/>
    <w:rsid w:val="00D64351"/>
    <w:rsid w:val="00D71D30"/>
    <w:rsid w:val="00D71EE7"/>
    <w:rsid w:val="00D8195D"/>
    <w:rsid w:val="00D8351F"/>
    <w:rsid w:val="00D90725"/>
    <w:rsid w:val="00D9073C"/>
    <w:rsid w:val="00D93A16"/>
    <w:rsid w:val="00D94215"/>
    <w:rsid w:val="00DA2838"/>
    <w:rsid w:val="00DA41E3"/>
    <w:rsid w:val="00DA52AA"/>
    <w:rsid w:val="00DA7802"/>
    <w:rsid w:val="00DB2595"/>
    <w:rsid w:val="00DB2A7D"/>
    <w:rsid w:val="00DB3830"/>
    <w:rsid w:val="00DB4667"/>
    <w:rsid w:val="00DC0A32"/>
    <w:rsid w:val="00DD4455"/>
    <w:rsid w:val="00DD5E75"/>
    <w:rsid w:val="00DD5FC2"/>
    <w:rsid w:val="00DD60E0"/>
    <w:rsid w:val="00DF067F"/>
    <w:rsid w:val="00DF21DD"/>
    <w:rsid w:val="00E04E4C"/>
    <w:rsid w:val="00E13F6E"/>
    <w:rsid w:val="00E1493C"/>
    <w:rsid w:val="00E15BD2"/>
    <w:rsid w:val="00E201A8"/>
    <w:rsid w:val="00E2276F"/>
    <w:rsid w:val="00E31B51"/>
    <w:rsid w:val="00E32FBD"/>
    <w:rsid w:val="00E33C85"/>
    <w:rsid w:val="00E415A9"/>
    <w:rsid w:val="00E44AE0"/>
    <w:rsid w:val="00E44C34"/>
    <w:rsid w:val="00E607AA"/>
    <w:rsid w:val="00E62403"/>
    <w:rsid w:val="00E65C5C"/>
    <w:rsid w:val="00E7392C"/>
    <w:rsid w:val="00E7491D"/>
    <w:rsid w:val="00E829B3"/>
    <w:rsid w:val="00E843FF"/>
    <w:rsid w:val="00E86FC5"/>
    <w:rsid w:val="00E94D4F"/>
    <w:rsid w:val="00E94E9B"/>
    <w:rsid w:val="00E97F14"/>
    <w:rsid w:val="00EA0084"/>
    <w:rsid w:val="00EA191F"/>
    <w:rsid w:val="00EA7EBD"/>
    <w:rsid w:val="00EB08D3"/>
    <w:rsid w:val="00EB26F9"/>
    <w:rsid w:val="00EB3479"/>
    <w:rsid w:val="00EB36C4"/>
    <w:rsid w:val="00EB4F31"/>
    <w:rsid w:val="00EC0E8A"/>
    <w:rsid w:val="00EC23FC"/>
    <w:rsid w:val="00EC410E"/>
    <w:rsid w:val="00EC51CF"/>
    <w:rsid w:val="00EC5F6D"/>
    <w:rsid w:val="00ED1B95"/>
    <w:rsid w:val="00ED2CBA"/>
    <w:rsid w:val="00ED4459"/>
    <w:rsid w:val="00ED7DFB"/>
    <w:rsid w:val="00EE00FC"/>
    <w:rsid w:val="00EE05E2"/>
    <w:rsid w:val="00EE1836"/>
    <w:rsid w:val="00EF0C31"/>
    <w:rsid w:val="00EF276A"/>
    <w:rsid w:val="00F013C4"/>
    <w:rsid w:val="00F0188F"/>
    <w:rsid w:val="00F06273"/>
    <w:rsid w:val="00F06348"/>
    <w:rsid w:val="00F0748F"/>
    <w:rsid w:val="00F119AE"/>
    <w:rsid w:val="00F12EBE"/>
    <w:rsid w:val="00F1478D"/>
    <w:rsid w:val="00F15CDB"/>
    <w:rsid w:val="00F164D9"/>
    <w:rsid w:val="00F228A9"/>
    <w:rsid w:val="00F23480"/>
    <w:rsid w:val="00F3139D"/>
    <w:rsid w:val="00F32DB1"/>
    <w:rsid w:val="00F34250"/>
    <w:rsid w:val="00F343B5"/>
    <w:rsid w:val="00F34CBA"/>
    <w:rsid w:val="00F44730"/>
    <w:rsid w:val="00F57742"/>
    <w:rsid w:val="00F579D1"/>
    <w:rsid w:val="00F63A49"/>
    <w:rsid w:val="00F6588D"/>
    <w:rsid w:val="00F667DF"/>
    <w:rsid w:val="00F66BD9"/>
    <w:rsid w:val="00F77152"/>
    <w:rsid w:val="00F77CDB"/>
    <w:rsid w:val="00F8193C"/>
    <w:rsid w:val="00F82BFB"/>
    <w:rsid w:val="00F83512"/>
    <w:rsid w:val="00FA1952"/>
    <w:rsid w:val="00FA388E"/>
    <w:rsid w:val="00FA5A0B"/>
    <w:rsid w:val="00FA6941"/>
    <w:rsid w:val="00FB0587"/>
    <w:rsid w:val="00FB074A"/>
    <w:rsid w:val="00FB4692"/>
    <w:rsid w:val="00FB5986"/>
    <w:rsid w:val="00FC43E3"/>
    <w:rsid w:val="00FD2720"/>
    <w:rsid w:val="00FE24CB"/>
    <w:rsid w:val="00FE532E"/>
    <w:rsid w:val="00FE69B5"/>
    <w:rsid w:val="00FF0C8A"/>
    <w:rsid w:val="00FF23DF"/>
    <w:rsid w:val="00FF423A"/>
    <w:rsid w:val="00FF46E3"/>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B9F"/>
    <w:rPr>
      <w:rFonts w:ascii="Times New Roman" w:eastAsia="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semiHidden/>
    <w:unhideWhenUsed/>
    <w:rsid w:val="00663C49"/>
    <w:rPr>
      <w:sz w:val="20"/>
      <w:szCs w:val="20"/>
    </w:rPr>
  </w:style>
  <w:style w:type="character" w:customStyle="1" w:styleId="TextocomentarioCar">
    <w:name w:val="Texto comentario Car"/>
    <w:link w:val="Textocomentario"/>
    <w:uiPriority w:val="99"/>
    <w:semiHidden/>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paragraph" w:customStyle="1" w:styleId="nota">
    <w:name w:val="nota"/>
    <w:basedOn w:val="Normal"/>
    <w:rsid w:val="00181111"/>
    <w:pPr>
      <w:spacing w:before="100" w:beforeAutospacing="1" w:after="100" w:afterAutospacing="1"/>
    </w:pPr>
    <w:rPr>
      <w:lang w:val="es-CL" w:eastAsia="es-CL"/>
    </w:rPr>
  </w:style>
  <w:style w:type="paragraph" w:styleId="Prrafodelista">
    <w:name w:val="List Paragraph"/>
    <w:basedOn w:val="Normal"/>
    <w:uiPriority w:val="67"/>
    <w:rsid w:val="00BF7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21326552">
      <w:bodyDiv w:val="1"/>
      <w:marLeft w:val="0"/>
      <w:marRight w:val="0"/>
      <w:marTop w:val="0"/>
      <w:marBottom w:val="0"/>
      <w:divBdr>
        <w:top w:val="none" w:sz="0" w:space="0" w:color="auto"/>
        <w:left w:val="none" w:sz="0" w:space="0" w:color="auto"/>
        <w:bottom w:val="none" w:sz="0" w:space="0" w:color="auto"/>
        <w:right w:val="none" w:sz="0" w:space="0" w:color="auto"/>
      </w:divBdr>
    </w:div>
    <w:div w:id="210098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ultasproceso@scj.gob.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F1A8-8C04-4106-BEE6-45AAE75F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3009</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 Toro</cp:lastModifiedBy>
  <cp:revision>2</cp:revision>
  <cp:lastPrinted>2016-05-12T14:08:00Z</cp:lastPrinted>
  <dcterms:created xsi:type="dcterms:W3CDTF">2019-01-15T15:32:00Z</dcterms:created>
  <dcterms:modified xsi:type="dcterms:W3CDTF">2019-01-15T15:32:00Z</dcterms:modified>
</cp:coreProperties>
</file>