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B46F" w14:textId="0985BF6C" w:rsidR="00FF55A7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820">
        <w:rPr>
          <w:sz w:val="28"/>
          <w:szCs w:val="28"/>
        </w:rPr>
        <w:t>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gene</w:t>
      </w:r>
      <w:r w:rsidR="00787820" w:rsidRPr="009C3A3E">
        <w:rPr>
          <w:sz w:val="28"/>
          <w:szCs w:val="28"/>
        </w:rPr>
        <w:t>raron</w:t>
      </w:r>
      <w:r w:rsidR="001914DF" w:rsidRPr="009C3A3E">
        <w:rPr>
          <w:sz w:val="28"/>
          <w:szCs w:val="28"/>
        </w:rPr>
        <w:t xml:space="preserve"> un aporte tributario</w:t>
      </w:r>
      <w:r w:rsidR="00787820" w:rsidRPr="009C3A3E">
        <w:rPr>
          <w:sz w:val="28"/>
          <w:szCs w:val="28"/>
        </w:rPr>
        <w:t xml:space="preserve"> </w:t>
      </w:r>
      <w:r w:rsidR="005C4CB2">
        <w:rPr>
          <w:sz w:val="28"/>
          <w:szCs w:val="28"/>
        </w:rPr>
        <w:t xml:space="preserve">por </w:t>
      </w:r>
      <w:r w:rsidR="001914DF" w:rsidRPr="009C3A3E">
        <w:rPr>
          <w:sz w:val="28"/>
          <w:szCs w:val="28"/>
        </w:rPr>
        <w:t>$</w:t>
      </w:r>
      <w:r w:rsidR="002E1A57">
        <w:rPr>
          <w:sz w:val="28"/>
          <w:szCs w:val="28"/>
        </w:rPr>
        <w:t>1</w:t>
      </w:r>
      <w:r w:rsidR="00EC3C2C">
        <w:rPr>
          <w:sz w:val="28"/>
          <w:szCs w:val="28"/>
        </w:rPr>
        <w:t>6</w:t>
      </w:r>
      <w:r w:rsidR="003F6D39">
        <w:rPr>
          <w:sz w:val="28"/>
          <w:szCs w:val="28"/>
        </w:rPr>
        <w:t>.</w:t>
      </w:r>
      <w:r w:rsidR="00EC3C2C">
        <w:rPr>
          <w:sz w:val="28"/>
          <w:szCs w:val="28"/>
        </w:rPr>
        <w:t>852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en</w:t>
      </w:r>
      <w:r w:rsidR="008659CE">
        <w:rPr>
          <w:sz w:val="28"/>
          <w:szCs w:val="28"/>
        </w:rPr>
        <w:t xml:space="preserve"> </w:t>
      </w:r>
      <w:r w:rsidR="00EC3C2C">
        <w:rPr>
          <w:sz w:val="28"/>
          <w:szCs w:val="28"/>
        </w:rPr>
        <w:t>octubre</w:t>
      </w:r>
      <w:r w:rsidR="005F0263">
        <w:rPr>
          <w:sz w:val="28"/>
          <w:szCs w:val="28"/>
        </w:rPr>
        <w:t xml:space="preserve"> de</w:t>
      </w:r>
      <w:r w:rsidR="00787820" w:rsidRPr="009C3A3E">
        <w:rPr>
          <w:sz w:val="28"/>
          <w:szCs w:val="28"/>
        </w:rPr>
        <w:t xml:space="preserve"> 202</w:t>
      </w:r>
      <w:r w:rsidR="0028027D" w:rsidRPr="009C3A3E">
        <w:rPr>
          <w:sz w:val="28"/>
          <w:szCs w:val="28"/>
        </w:rPr>
        <w:t>1</w:t>
      </w:r>
      <w:r w:rsidR="00EC3C2C">
        <w:rPr>
          <w:sz w:val="28"/>
          <w:szCs w:val="28"/>
        </w:rPr>
        <w:t xml:space="preserve">, siendo el </w:t>
      </w:r>
      <w:r w:rsidR="00FF55A7">
        <w:rPr>
          <w:sz w:val="28"/>
          <w:szCs w:val="28"/>
        </w:rPr>
        <w:t xml:space="preserve">mayor </w:t>
      </w:r>
      <w:r w:rsidR="00EC3C2C">
        <w:rPr>
          <w:sz w:val="28"/>
          <w:szCs w:val="28"/>
        </w:rPr>
        <w:t xml:space="preserve">registro </w:t>
      </w:r>
      <w:r w:rsidR="00FF55A7">
        <w:rPr>
          <w:sz w:val="28"/>
          <w:szCs w:val="28"/>
        </w:rPr>
        <w:t>desde que comenzaron a operar en 2008</w:t>
      </w:r>
    </w:p>
    <w:p w14:paraId="671B6DB7" w14:textId="46C990C2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EC3C2C">
        <w:rPr>
          <w:i/>
          <w:sz w:val="22"/>
        </w:rPr>
        <w:t>7</w:t>
      </w:r>
      <w:r w:rsidR="00496A03">
        <w:rPr>
          <w:i/>
          <w:sz w:val="22"/>
        </w:rPr>
        <w:t>.</w:t>
      </w:r>
      <w:r w:rsidR="00EC3C2C">
        <w:rPr>
          <w:i/>
          <w:sz w:val="22"/>
        </w:rPr>
        <w:t>759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</w:t>
      </w:r>
      <w:r w:rsidR="00FF55A7">
        <w:rPr>
          <w:i/>
          <w:sz w:val="22"/>
        </w:rPr>
        <w:t>an</w:t>
      </w:r>
      <w:r w:rsidR="00CF73CD" w:rsidRPr="009C3A3E">
        <w:rPr>
          <w:i/>
          <w:sz w:val="22"/>
        </w:rPr>
        <w:t xml:space="preserve"> a las</w:t>
      </w:r>
      <w:r w:rsidR="001914DF" w:rsidRPr="009C3A3E">
        <w:rPr>
          <w:i/>
          <w:sz w:val="22"/>
        </w:rPr>
        <w:t xml:space="preserve"> comunas y gobierno regionales en que se ubican</w:t>
      </w:r>
      <w:r w:rsidR="00186B7F" w:rsidRPr="009C3A3E">
        <w:rPr>
          <w:i/>
          <w:sz w:val="22"/>
        </w:rPr>
        <w:t>, $</w:t>
      </w:r>
      <w:r w:rsidR="00EC3C2C">
        <w:rPr>
          <w:i/>
          <w:sz w:val="22"/>
        </w:rPr>
        <w:t>7</w:t>
      </w:r>
      <w:r w:rsidR="00496A03">
        <w:rPr>
          <w:i/>
          <w:sz w:val="22"/>
        </w:rPr>
        <w:t>.</w:t>
      </w:r>
      <w:r w:rsidR="00EC3C2C">
        <w:rPr>
          <w:i/>
          <w:sz w:val="22"/>
        </w:rPr>
        <w:t>37</w:t>
      </w:r>
      <w:r w:rsidR="00B71714">
        <w:rPr>
          <w:i/>
          <w:sz w:val="22"/>
        </w:rPr>
        <w:t>5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496A03">
        <w:rPr>
          <w:i/>
          <w:sz w:val="22"/>
        </w:rPr>
        <w:t>1.</w:t>
      </w:r>
      <w:r w:rsidR="00EC3C2C">
        <w:rPr>
          <w:i/>
          <w:sz w:val="22"/>
        </w:rPr>
        <w:t>718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7C5D1B25" w14:textId="5FD0BC0D" w:rsidR="00496A03" w:rsidRPr="009C3A3E" w:rsidRDefault="003A4081" w:rsidP="00496A03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 xml:space="preserve"> </w:t>
      </w:r>
      <w:r w:rsidR="00EC3C2C">
        <w:rPr>
          <w:i/>
          <w:sz w:val="22"/>
        </w:rPr>
        <w:t xml:space="preserve">El mes de octubre </w:t>
      </w:r>
      <w:r w:rsidR="00FF55A7">
        <w:rPr>
          <w:i/>
          <w:sz w:val="22"/>
        </w:rPr>
        <w:t xml:space="preserve">se </w:t>
      </w:r>
      <w:r w:rsidR="00EC3C2C">
        <w:rPr>
          <w:i/>
          <w:sz w:val="22"/>
        </w:rPr>
        <w:t xml:space="preserve">registró el mes con mayores ingresos históricos en los casinos de juego del país, consolidando la </w:t>
      </w:r>
      <w:r w:rsidR="006D340C">
        <w:rPr>
          <w:i/>
          <w:sz w:val="22"/>
        </w:rPr>
        <w:t xml:space="preserve">tendencia de recuperación </w:t>
      </w:r>
      <w:r w:rsidR="00EC3C2C">
        <w:rPr>
          <w:i/>
          <w:sz w:val="22"/>
        </w:rPr>
        <w:t>observada durante todo el segundo semestre</w:t>
      </w:r>
      <w:r w:rsidR="006D340C">
        <w:rPr>
          <w:i/>
          <w:sz w:val="22"/>
        </w:rPr>
        <w:t>.</w:t>
      </w:r>
      <w:r w:rsidR="00496A03" w:rsidRPr="009C3A3E">
        <w:rPr>
          <w:i/>
          <w:sz w:val="22"/>
        </w:rPr>
        <w:t xml:space="preserve"> </w:t>
      </w:r>
      <w:r w:rsidR="00FF55A7">
        <w:rPr>
          <w:i/>
          <w:sz w:val="22"/>
        </w:rPr>
        <w:t xml:space="preserve">Cabe señalar que </w:t>
      </w:r>
      <w:r w:rsidR="00EC3C2C">
        <w:rPr>
          <w:i/>
          <w:sz w:val="22"/>
        </w:rPr>
        <w:t>24 de los 26</w:t>
      </w:r>
      <w:r w:rsidR="00F96FD7">
        <w:rPr>
          <w:i/>
          <w:sz w:val="22"/>
        </w:rPr>
        <w:t xml:space="preserve"> casinos mostraron un nivel de actividad incluso superior a lo </w:t>
      </w:r>
      <w:r w:rsidR="00EC3C2C">
        <w:rPr>
          <w:i/>
          <w:sz w:val="22"/>
        </w:rPr>
        <w:t>registrado pre</w:t>
      </w:r>
      <w:r w:rsidR="00FF55A7">
        <w:rPr>
          <w:i/>
          <w:sz w:val="22"/>
        </w:rPr>
        <w:t>vio a la p</w:t>
      </w:r>
      <w:r w:rsidR="00EC3C2C">
        <w:rPr>
          <w:i/>
          <w:sz w:val="22"/>
        </w:rPr>
        <w:t>andemia.</w:t>
      </w:r>
    </w:p>
    <w:p w14:paraId="39B5FAA9" w14:textId="77777777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8FC6F0B" w14:textId="2ECCEEBB" w:rsidR="00496A03" w:rsidRP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 xml:space="preserve">Apertura de los casinos de juego durante </w:t>
      </w:r>
      <w:r w:rsidR="00EC3C2C">
        <w:rPr>
          <w:rFonts w:cstheme="minorHAnsi"/>
          <w:b/>
          <w:bCs/>
        </w:rPr>
        <w:t>octubre</w:t>
      </w:r>
      <w:r w:rsidRPr="009C3A3E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1</w:t>
      </w:r>
      <w:bookmarkStart w:id="0" w:name="_Hlk510430630"/>
    </w:p>
    <w:bookmarkEnd w:id="0"/>
    <w:p w14:paraId="4E2FFF58" w14:textId="77777777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157C7871" w14:textId="1B929C86" w:rsidR="00B57DCD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  <w:r w:rsidRPr="00496A03">
        <w:rPr>
          <w:rFonts w:cstheme="minorHAnsi"/>
        </w:rPr>
        <w:t xml:space="preserve">Durante el mes de </w:t>
      </w:r>
      <w:r w:rsidR="00EC3C2C">
        <w:rPr>
          <w:rFonts w:cstheme="minorHAnsi"/>
        </w:rPr>
        <w:t>octubre</w:t>
      </w:r>
      <w:r w:rsidRPr="00496A03">
        <w:rPr>
          <w:rFonts w:cstheme="minorHAnsi"/>
        </w:rPr>
        <w:t xml:space="preserve"> de 2021,</w:t>
      </w:r>
      <w:r w:rsidR="006D340C">
        <w:rPr>
          <w:rFonts w:cstheme="minorHAnsi"/>
        </w:rPr>
        <w:t xml:space="preserve"> </w:t>
      </w:r>
      <w:r w:rsidR="00EC3C2C">
        <w:rPr>
          <w:rFonts w:cstheme="minorHAnsi"/>
        </w:rPr>
        <w:t>operaron por primera vez desde marzo del 2020 la totalidad de los casinos de juego</w:t>
      </w:r>
      <w:r w:rsidR="00FF55A7">
        <w:rPr>
          <w:rFonts w:cstheme="minorHAnsi"/>
        </w:rPr>
        <w:t xml:space="preserve"> durante el </w:t>
      </w:r>
      <w:r w:rsidR="00EC3C2C">
        <w:rPr>
          <w:rFonts w:cstheme="minorHAnsi"/>
        </w:rPr>
        <w:t xml:space="preserve">mes completo. </w:t>
      </w:r>
    </w:p>
    <w:p w14:paraId="4F88DA6B" w14:textId="24EBC500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AE861CC" w14:textId="0BC1E6FA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 atención a las medidas sanitarias dispuestas en el </w:t>
      </w:r>
      <w:r w:rsidRPr="009C3A3E">
        <w:rPr>
          <w:rFonts w:cstheme="minorHAnsi"/>
        </w:rPr>
        <w:t>Protocolo de Manejo y Prevención ante COVID-19 en casinos y establecimientos de juego y entretenció</w:t>
      </w:r>
      <w:r>
        <w:rPr>
          <w:rFonts w:cstheme="minorHAnsi"/>
        </w:rPr>
        <w:t xml:space="preserve">n </w:t>
      </w:r>
      <w:r w:rsidRPr="009C3A3E">
        <w:rPr>
          <w:rFonts w:cstheme="minorHAnsi"/>
        </w:rPr>
        <w:t xml:space="preserve">(disponible en: </w:t>
      </w:r>
      <w:hyperlink r:id="rId8" w:anchor="documentos/" w:history="1">
        <w:r w:rsidRPr="005236BE">
          <w:rPr>
            <w:rStyle w:val="Hipervnculo"/>
          </w:rPr>
          <w:t>https://www.gob.cl/pasoapaso#documentos/</w:t>
        </w:r>
      </w:hyperlink>
      <w:r>
        <w:t>)</w:t>
      </w:r>
      <w:r>
        <w:rPr>
          <w:rFonts w:cstheme="minorHAnsi"/>
        </w:rPr>
        <w:t>, la apertura de los casinos en las comunas que se ubiquen</w:t>
      </w:r>
      <w:r w:rsidRPr="009C3A3E">
        <w:rPr>
          <w:rFonts w:cstheme="minorHAnsi"/>
        </w:rPr>
        <w:t xml:space="preserve"> en los Pasos</w:t>
      </w:r>
      <w:r>
        <w:rPr>
          <w:rFonts w:cstheme="minorHAnsi"/>
        </w:rPr>
        <w:t xml:space="preserve"> 2, </w:t>
      </w:r>
      <w:r w:rsidRPr="009C3A3E">
        <w:rPr>
          <w:rFonts w:cstheme="minorHAnsi"/>
        </w:rPr>
        <w:t>3 y 4 es de carácter voluntaria</w:t>
      </w:r>
      <w:r w:rsidR="001E366F">
        <w:rPr>
          <w:rFonts w:cstheme="minorHAnsi"/>
        </w:rPr>
        <w:t>, siendo obligatoria la apertura en Paso 5.</w:t>
      </w:r>
    </w:p>
    <w:p w14:paraId="0D3EE5A5" w14:textId="6AC6B237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5FC403CA" w14:textId="77777777" w:rsidR="00496A03" w:rsidRDefault="00496A03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D65A82" w14:textId="26175E6C" w:rsidR="000B16EA" w:rsidRDefault="003A4081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Los </w:t>
      </w:r>
      <w:r w:rsidR="00F96FD7">
        <w:rPr>
          <w:rFonts w:cstheme="minorHAnsi"/>
        </w:rPr>
        <w:t>20</w:t>
      </w:r>
      <w:r>
        <w:rPr>
          <w:rFonts w:cstheme="minorHAnsi"/>
        </w:rPr>
        <w:t xml:space="preserve"> casinos 19.995 </w:t>
      </w:r>
      <w:r w:rsidR="00731D61">
        <w:rPr>
          <w:rFonts w:cstheme="minorHAnsi"/>
        </w:rPr>
        <w:t>a</w:t>
      </w:r>
      <w:r w:rsidR="00B14621" w:rsidRPr="009C3A3E">
        <w:rPr>
          <w:rFonts w:cstheme="minorHAnsi"/>
        </w:rPr>
        <w:t xml:space="preserve">portaron 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F96FD7">
        <w:rPr>
          <w:rFonts w:cstheme="minorHAnsi"/>
        </w:rPr>
        <w:t>1</w:t>
      </w:r>
      <w:r w:rsidR="000B16EA">
        <w:rPr>
          <w:rFonts w:cstheme="minorHAnsi"/>
        </w:rPr>
        <w:t>6</w:t>
      </w:r>
      <w:r w:rsidR="00F96FD7">
        <w:rPr>
          <w:rFonts w:cstheme="minorHAnsi"/>
        </w:rPr>
        <w:t>.</w:t>
      </w:r>
      <w:r w:rsidR="000B16EA">
        <w:rPr>
          <w:rFonts w:cstheme="minorHAnsi"/>
        </w:rPr>
        <w:t>852</w:t>
      </w:r>
      <w:r w:rsidR="00B14621" w:rsidRPr="009C3A3E">
        <w:rPr>
          <w:rFonts w:cstheme="minorHAnsi"/>
        </w:rPr>
        <w:t xml:space="preserve"> millones en impuestos</w:t>
      </w:r>
      <w:r>
        <w:rPr>
          <w:rFonts w:cstheme="minorHAnsi"/>
        </w:rPr>
        <w:t xml:space="preserve">, </w:t>
      </w:r>
      <w:r w:rsidR="00FF55A7">
        <w:rPr>
          <w:rFonts w:cstheme="minorHAnsi"/>
        </w:rPr>
        <w:t xml:space="preserve">generando </w:t>
      </w:r>
      <w:r w:rsidR="000B16EA">
        <w:rPr>
          <w:rFonts w:cstheme="minorHAnsi"/>
        </w:rPr>
        <w:t>la mayor recaudación a nivel mensual desde que se inauguraron los primeros casinos el año 2008, descontando el efecto del casin</w:t>
      </w:r>
      <w:r w:rsidR="00F96FD7">
        <w:rPr>
          <w:rFonts w:cstheme="minorHAnsi"/>
        </w:rPr>
        <w:t>o ubicado en la comuna del Viña del Mar</w:t>
      </w:r>
      <w:r w:rsidR="000B16EA">
        <w:rPr>
          <w:rFonts w:cstheme="minorHAnsi"/>
        </w:rPr>
        <w:t xml:space="preserve"> que</w:t>
      </w:r>
      <w:r w:rsidR="00F96FD7">
        <w:rPr>
          <w:rFonts w:cstheme="minorHAnsi"/>
        </w:rPr>
        <w:t xml:space="preserve"> desde el 31 de julio del presente </w:t>
      </w:r>
      <w:r w:rsidR="000B16EA">
        <w:rPr>
          <w:rFonts w:cstheme="minorHAnsi"/>
        </w:rPr>
        <w:t>opera</w:t>
      </w:r>
      <w:r w:rsidR="00F96FD7">
        <w:rPr>
          <w:rFonts w:cstheme="minorHAnsi"/>
        </w:rPr>
        <w:t xml:space="preserve"> </w:t>
      </w:r>
      <w:r w:rsidR="000B16EA">
        <w:rPr>
          <w:rFonts w:cstheme="minorHAnsi"/>
        </w:rPr>
        <w:t xml:space="preserve">como </w:t>
      </w:r>
      <w:r w:rsidR="00F96FD7">
        <w:rPr>
          <w:rFonts w:cstheme="minorHAnsi"/>
        </w:rPr>
        <w:t xml:space="preserve">casinos 19.995, contribuyendo en el mes de </w:t>
      </w:r>
      <w:r w:rsidR="000B16EA">
        <w:rPr>
          <w:rFonts w:cstheme="minorHAnsi"/>
        </w:rPr>
        <w:t>octubre</w:t>
      </w:r>
      <w:r w:rsidR="00F96FD7">
        <w:rPr>
          <w:rFonts w:cstheme="minorHAnsi"/>
        </w:rPr>
        <w:t xml:space="preserve"> con aproximadamente $1.</w:t>
      </w:r>
      <w:r w:rsidR="000B16EA">
        <w:rPr>
          <w:rFonts w:cstheme="minorHAnsi"/>
        </w:rPr>
        <w:t>940</w:t>
      </w:r>
      <w:r w:rsidR="00F96FD7">
        <w:rPr>
          <w:rFonts w:cstheme="minorHAnsi"/>
        </w:rPr>
        <w:t xml:space="preserve"> millones en impuestos.</w:t>
      </w:r>
      <w:r>
        <w:rPr>
          <w:rFonts w:cstheme="minorHAnsi"/>
        </w:rPr>
        <w:t xml:space="preserve"> </w:t>
      </w:r>
    </w:p>
    <w:p w14:paraId="7B3B9794" w14:textId="77777777" w:rsidR="000B16EA" w:rsidRDefault="000B16EA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3DC3442F" w:rsidR="00B14621" w:rsidRPr="009C3A3E" w:rsidRDefault="00F96FD7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</w:t>
      </w:r>
      <w:r w:rsidR="003A4081">
        <w:rPr>
          <w:rFonts w:cstheme="minorHAnsi"/>
        </w:rPr>
        <w:t xml:space="preserve"> </w:t>
      </w:r>
      <w:r>
        <w:rPr>
          <w:rFonts w:cstheme="minorHAnsi"/>
        </w:rPr>
        <w:t xml:space="preserve">a nivel de industria </w:t>
      </w:r>
      <w:r w:rsidR="003A4081">
        <w:rPr>
          <w:rFonts w:cstheme="minorHAnsi"/>
        </w:rPr>
        <w:t>se dividen en</w:t>
      </w:r>
      <w:r w:rsidR="00B14621" w:rsidRPr="009C3A3E">
        <w:rPr>
          <w:rFonts w:cstheme="minorHAnsi"/>
        </w:rPr>
        <w:t xml:space="preserve"> $</w:t>
      </w:r>
      <w:r w:rsidR="000B16EA">
        <w:rPr>
          <w:rFonts w:cstheme="minorHAnsi"/>
        </w:rPr>
        <w:t>7.759</w:t>
      </w:r>
      <w:r w:rsidR="00B14621" w:rsidRPr="009C3A3E">
        <w:rPr>
          <w:rFonts w:cstheme="minorHAnsi"/>
        </w:rPr>
        <w:t xml:space="preserve"> millones </w:t>
      </w:r>
      <w:r w:rsidR="003A4081">
        <w:rPr>
          <w:rFonts w:cstheme="minorHAnsi"/>
        </w:rPr>
        <w:t xml:space="preserve">que </w:t>
      </w:r>
      <w:r w:rsidR="00B14621" w:rsidRPr="009C3A3E">
        <w:rPr>
          <w:rFonts w:cstheme="minorHAnsi"/>
        </w:rPr>
        <w:t xml:space="preserve">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además de $</w:t>
      </w:r>
      <w:r w:rsidR="000B16EA">
        <w:rPr>
          <w:rFonts w:cstheme="minorHAnsi"/>
        </w:rPr>
        <w:t>7.37</w:t>
      </w:r>
      <w:r w:rsidR="00B71714">
        <w:rPr>
          <w:rFonts w:cstheme="minorHAnsi"/>
        </w:rPr>
        <w:t>5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>
        <w:rPr>
          <w:rFonts w:cstheme="minorHAnsi"/>
        </w:rPr>
        <w:t>1.</w:t>
      </w:r>
      <w:r w:rsidR="000B16EA">
        <w:rPr>
          <w:rFonts w:cstheme="minorHAnsi"/>
        </w:rPr>
        <w:t xml:space="preserve">718 </w:t>
      </w:r>
      <w:r w:rsidR="00B14621"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24152A02" w14:textId="3BB83CEE" w:rsidR="00B14621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8A2C9E8" w14:textId="280D47E9" w:rsidR="00F96FD7" w:rsidRDefault="00F96FD7" w:rsidP="00F96FD7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0B16EA">
        <w:rPr>
          <w:rFonts w:cstheme="minorHAnsi"/>
        </w:rPr>
        <w:t>diciembre</w:t>
      </w:r>
      <w:r w:rsidRPr="009C3A3E">
        <w:rPr>
          <w:rFonts w:cstheme="minorHAnsi"/>
        </w:rPr>
        <w:t xml:space="preserve"> de 2021.</w:t>
      </w:r>
    </w:p>
    <w:p w14:paraId="26063EC5" w14:textId="7828A7EA" w:rsidR="00F96FD7" w:rsidRDefault="00F96FD7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2AC79D03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distribución de los impuestos recaudados se muestra a continuación</w:t>
      </w:r>
      <w:r w:rsidR="00BA4CC3">
        <w:rPr>
          <w:rFonts w:cstheme="minorHAnsi"/>
        </w:rPr>
        <w:t>:</w:t>
      </w:r>
    </w:p>
    <w:p w14:paraId="55ADE08A" w14:textId="73C9C590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1EAD1422" w14:textId="70EA28B3" w:rsidR="00F96FD7" w:rsidRDefault="00F96FD7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62285EC0" w14:textId="41C7D22D" w:rsidR="00F96FD7" w:rsidRDefault="00F96FD7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29D6EDCD" w14:textId="356DA911" w:rsidR="00F96FD7" w:rsidRDefault="00F96FD7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4AFBB19D" w14:textId="77777777" w:rsidR="00F96FD7" w:rsidRDefault="00F96FD7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53"/>
        <w:gridCol w:w="1244"/>
        <w:gridCol w:w="1276"/>
        <w:gridCol w:w="1134"/>
        <w:gridCol w:w="1134"/>
        <w:gridCol w:w="1134"/>
      </w:tblGrid>
      <w:tr w:rsidR="003A4081" w:rsidRPr="003A4081" w14:paraId="04EEDAD0" w14:textId="77777777" w:rsidTr="003A4081">
        <w:trPr>
          <w:trHeight w:val="315"/>
          <w:jc w:val="center"/>
        </w:trPr>
        <w:tc>
          <w:tcPr>
            <w:tcW w:w="9209" w:type="dxa"/>
            <w:gridSpan w:val="7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1F497D"/>
            <w:noWrap/>
            <w:vAlign w:val="center"/>
            <w:hideMark/>
          </w:tcPr>
          <w:p w14:paraId="44442291" w14:textId="3A46CDF6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r w:rsidR="000B16E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octubre</w:t>
            </w: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2021 ($ Millones)</w:t>
            </w:r>
          </w:p>
        </w:tc>
      </w:tr>
      <w:tr w:rsidR="003A4081" w:rsidRPr="003A4081" w14:paraId="70487AA6" w14:textId="77777777" w:rsidTr="003A4081">
        <w:trPr>
          <w:trHeight w:val="975"/>
          <w:jc w:val="center"/>
        </w:trPr>
        <w:tc>
          <w:tcPr>
            <w:tcW w:w="1134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A4D11A3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9AA7D4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C949ED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C9EE26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660F8D1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center"/>
            <w:hideMark/>
          </w:tcPr>
          <w:p w14:paraId="71362A96" w14:textId="77CBF178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p</w:t>
            </w: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or entrada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60CB354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832C32" w:rsidRPr="003A4081" w14:paraId="5A169C11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962A0B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Arica y Parinacota</w:t>
            </w:r>
          </w:p>
        </w:tc>
        <w:tc>
          <w:tcPr>
            <w:tcW w:w="215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D7A5A9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Luckia</w:t>
            </w:r>
            <w:proofErr w:type="spellEnd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FB310A" w14:textId="7ADAE84F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101,6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953503" w14:textId="4F02F22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101,6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B1F688A" w14:textId="3DA43BBE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193,1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EFA55AB" w14:textId="434EAA7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81,2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B54B4D" w14:textId="2481F9BA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477,6</w:t>
            </w:r>
          </w:p>
        </w:tc>
      </w:tr>
      <w:tr w:rsidR="00832C32" w:rsidRPr="003A4081" w14:paraId="694DDF94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06E22E0" w14:textId="77777777" w:rsidR="00832C32" w:rsidRPr="003A4081" w:rsidRDefault="00832C32" w:rsidP="00832C3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Antofagasta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C3CB808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Calama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06CB76B" w14:textId="4E10167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101,4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5C5334D" w14:textId="75B1CA48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101,4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94DE9FC" w14:textId="25B93EB0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192,6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D1660A8" w14:textId="6B9423EE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48,8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E86ED64" w14:textId="65543C7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444,1</w:t>
            </w:r>
          </w:p>
        </w:tc>
      </w:tr>
      <w:tr w:rsidR="00832C32" w:rsidRPr="003A4081" w14:paraId="41B9036D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6B873131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C770B61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Antofagasta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DFC5557" w14:textId="747ED6C8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462C0ED" w14:textId="5BC5138C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B90012A" w14:textId="27814525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E898385" w14:textId="179F831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C87684D" w14:textId="0117F2D8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923,2</w:t>
            </w:r>
          </w:p>
        </w:tc>
      </w:tr>
      <w:tr w:rsidR="00832C32" w:rsidRPr="003A4081" w14:paraId="30FB8319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C541F0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Atacama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7F901F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Antay</w:t>
            </w:r>
            <w:proofErr w:type="spellEnd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C8B986" w14:textId="214A7AF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820F5D" w14:textId="369B28F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9439C7" w14:textId="5E35DA53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795CB5" w14:textId="13F6F68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E68EA8" w14:textId="41A74EEF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658,9</w:t>
            </w:r>
          </w:p>
        </w:tc>
      </w:tr>
      <w:tr w:rsidR="00832C32" w:rsidRPr="003A4081" w14:paraId="5659AA16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BE1152C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44F61093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EE6BE35" w14:textId="647A85C0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51BB2D2" w14:textId="27D2BEED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2A80BA3" w14:textId="4AAF9ED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73,2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3D354E4" w14:textId="5BF50A2D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4D6C7F3A" w14:textId="7754634A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173,1</w:t>
            </w:r>
          </w:p>
        </w:tc>
      </w:tr>
      <w:tr w:rsidR="00832C32" w:rsidRPr="003A4081" w14:paraId="27F35E50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8DEFBE9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730565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A2AED0" w14:textId="3D7E5D2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83,2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192119" w14:textId="4664BED3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83,2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17BD7C" w14:textId="6C04AF8C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CD0C32" w14:textId="53E9574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55,9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59C54F" w14:textId="5F264FAC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380,6</w:t>
            </w:r>
          </w:p>
        </w:tc>
      </w:tr>
      <w:tr w:rsidR="00832C32" w:rsidRPr="003A4081" w14:paraId="10FC3566" w14:textId="77777777" w:rsidTr="003A4081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3E75EB38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D9A1C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Viña del Mar</w:t>
            </w:r>
          </w:p>
        </w:tc>
        <w:tc>
          <w:tcPr>
            <w:tcW w:w="1244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9E0B0D" w14:textId="2CD0712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1AB442" w14:textId="7C3430E8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22D35" w14:textId="611E506B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40D0D04" w14:textId="11AFCF0A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B9263A" w14:textId="24704FFF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1.940,1</w:t>
            </w:r>
          </w:p>
        </w:tc>
      </w:tr>
      <w:tr w:rsidR="00832C32" w:rsidRPr="003A4081" w14:paraId="0BC5AAAA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3699319E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1150A4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Santiago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4F800A" w14:textId="14321CC3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EFDF05" w14:textId="6E65D184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24B7F0E" w14:textId="2D06968F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5563DC9" w14:textId="2A2D34EF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8D320A" w14:textId="04E3DB28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1.402,8</w:t>
            </w:r>
          </w:p>
        </w:tc>
      </w:tr>
      <w:tr w:rsidR="00832C32" w:rsidRPr="003A4081" w14:paraId="1E0B03DD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930E6FE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O´Higgins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241A70B2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Sun</w:t>
            </w:r>
            <w:proofErr w:type="spellEnd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Monticello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5622F03" w14:textId="7211B99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1.076,9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2B25178" w14:textId="1A85215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1.076,9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EC3818" w14:textId="79B9120E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2.046,1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A30BFD7" w14:textId="4C5108C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282,0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B3C941E" w14:textId="2BE53AE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4.481,8</w:t>
            </w:r>
          </w:p>
        </w:tc>
      </w:tr>
      <w:tr w:rsidR="00832C32" w:rsidRPr="003A4081" w14:paraId="7B852A47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279FFB45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F775292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FA76FF9" w14:textId="49914BCD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57F817E" w14:textId="60AE962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7979709" w14:textId="65090574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D8A336D" w14:textId="2E8133A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9E39985" w14:textId="60965173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288,5</w:t>
            </w:r>
          </w:p>
        </w:tc>
      </w:tr>
      <w:tr w:rsidR="00832C32" w:rsidRPr="003A4081" w14:paraId="3B1B5A29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EB3D104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Maule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665D99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217393" w14:textId="6CBB6ADD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35BA2B2" w14:textId="4CBC8864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7D6DC5" w14:textId="6E2B5B15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E8CFA4" w14:textId="3982E694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72C5CE" w14:textId="2C89A77C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349,7</w:t>
            </w:r>
          </w:p>
        </w:tc>
      </w:tr>
      <w:tr w:rsidR="00832C32" w:rsidRPr="003A4081" w14:paraId="1F8D1D2E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35EA712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Ñuble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13C1EA8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A70C096" w14:textId="23302A7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83,1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299251E" w14:textId="0111CA63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83,1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831C132" w14:textId="0C03F4F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7CD7814" w14:textId="27DC50D8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51,1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708453BB" w14:textId="4DBAEB44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375,4</w:t>
            </w:r>
          </w:p>
        </w:tc>
      </w:tr>
      <w:tr w:rsidR="00832C32" w:rsidRPr="003A4081" w14:paraId="2989ADB7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A52516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Biobío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8C7962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198DE0" w14:textId="62EBC7E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388,8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64AC28" w14:textId="3B5FCAC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388,8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2D55F2" w14:textId="533FD79D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738,8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46EF77" w14:textId="4585D1CA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193,8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5D9E2B" w14:textId="39BC70FD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1.710,2</w:t>
            </w:r>
          </w:p>
        </w:tc>
      </w:tr>
      <w:tr w:rsidR="00832C32" w:rsidRPr="003A4081" w14:paraId="75400DBE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21DA1402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3E51FD" w14:textId="7F8B687F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Casino Gran Los </w:t>
            </w: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Á</w:t>
            </w: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ngeles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DC38C4" w14:textId="2274512C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7A9996" w14:textId="550A19D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62D5EC" w14:textId="2F6A476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B5B50C" w14:textId="3126A93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EF5FEE" w14:textId="082ACA3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154,6</w:t>
            </w:r>
          </w:p>
        </w:tc>
      </w:tr>
      <w:tr w:rsidR="00832C32" w:rsidRPr="003A4081" w14:paraId="3D728677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55C1B86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Araucanía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2998B3EE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23B798A" w14:textId="2A6ED80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208,5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EB2994C" w14:textId="0D8F8B89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208,5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4AFBD3E" w14:textId="2B7ED0A1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396,1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4FBDC0D" w14:textId="68026A00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94,3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6D35A11B" w14:textId="261FFBE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907,3</w:t>
            </w:r>
          </w:p>
        </w:tc>
      </w:tr>
      <w:tr w:rsidR="00832C32" w:rsidRPr="003A4081" w14:paraId="32B80900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D9D4E3B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Los Ríos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CF26D1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1103A9" w14:textId="458246B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132,5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C614CD" w14:textId="3949540B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132,5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18F555" w14:textId="61967D5C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251,7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D889745" w14:textId="65A369C9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77,7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20004B" w14:textId="51AC3523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594,3</w:t>
            </w:r>
          </w:p>
        </w:tc>
      </w:tr>
      <w:tr w:rsidR="00832C32" w:rsidRPr="003A4081" w14:paraId="73B91744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93E10FA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D1E27B4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8E5F8E9" w14:textId="6F9C6DDF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98,5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98AD84A" w14:textId="5D5857A4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98,5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E9859F7" w14:textId="2469473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187,2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5C00C5B" w14:textId="59A742BD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52,4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43A6DEAB" w14:textId="723EC45A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436,5</w:t>
            </w:r>
          </w:p>
        </w:tc>
      </w:tr>
      <w:tr w:rsidR="00832C32" w:rsidRPr="003A4081" w14:paraId="3B06CDE6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1EBE810B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D6947DC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Chiloé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AF673A1" w14:textId="4C8C6CDA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BBE9D82" w14:textId="7301B0F4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AAD8301" w14:textId="36DA297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87A417" w14:textId="1C03012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67AEE151" w14:textId="29406D2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118,4</w:t>
            </w:r>
          </w:p>
        </w:tc>
      </w:tr>
      <w:tr w:rsidR="00832C32" w:rsidRPr="003A4081" w14:paraId="27267839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15B27F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Aysen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6D5F9E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FA140D" w14:textId="1838121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8E026E5" w14:textId="2F3F9958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A40CF71" w14:textId="28A51C35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363215A" w14:textId="3871638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036AD7" w14:textId="73401CE9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218,4</w:t>
            </w:r>
          </w:p>
        </w:tc>
      </w:tr>
      <w:tr w:rsidR="00832C32" w:rsidRPr="003A4081" w14:paraId="20FFDE6D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9DEEC71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48215456" w14:textId="77777777" w:rsidR="00832C32" w:rsidRPr="003A4081" w:rsidRDefault="00832C32" w:rsidP="00832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1AD444E" w14:textId="2BE3FB0C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182,7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F222EBE" w14:textId="0101493C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182,7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67F0A9" w14:textId="3DA2CFD3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347,1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78861BB" w14:textId="1CE150E5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103,9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61A10B6" w14:textId="4DC95AC9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816,4</w:t>
            </w:r>
          </w:p>
        </w:tc>
      </w:tr>
      <w:tr w:rsidR="00832C32" w:rsidRPr="003A4081" w14:paraId="25276793" w14:textId="77777777" w:rsidTr="003A4081">
        <w:trPr>
          <w:trHeight w:val="315"/>
          <w:jc w:val="center"/>
        </w:trPr>
        <w:tc>
          <w:tcPr>
            <w:tcW w:w="3287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304B9F1" w14:textId="7777777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75E0AD3" w14:textId="674ACFF6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3.879,5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DD203F0" w14:textId="22497187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3.879,5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CEDEC5F" w14:textId="58CD3EB2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7.375,3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E91DEB6" w14:textId="58798BEE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1.717,9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D19E307" w14:textId="4EA4585A" w:rsidR="00832C32" w:rsidRPr="003A4081" w:rsidRDefault="00832C32" w:rsidP="0083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16.852,1</w:t>
            </w:r>
          </w:p>
        </w:tc>
      </w:tr>
    </w:tbl>
    <w:p w14:paraId="4B71C239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6E2DF934" w14:textId="36A0CB02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198CC3D" w14:textId="77777777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10F5657D" w:rsidR="00CF2067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</w:t>
      </w:r>
      <w:r w:rsidR="00AA4471" w:rsidRPr="009C3A3E">
        <w:t xml:space="preserve"> casinos de juego </w:t>
      </w:r>
      <w:r w:rsidRPr="009C3A3E">
        <w:t xml:space="preserve">registraron </w:t>
      </w:r>
      <w:r w:rsidR="00A729EA" w:rsidRPr="009C3A3E">
        <w:t>ingresos bru</w:t>
      </w:r>
      <w:r w:rsidR="00AA4471" w:rsidRPr="009C3A3E">
        <w:t>tos del juego (</w:t>
      </w:r>
      <w:proofErr w:type="spellStart"/>
      <w:r w:rsidR="00AA4471" w:rsidRPr="009C3A3E">
        <w:t>win</w:t>
      </w:r>
      <w:proofErr w:type="spellEnd"/>
      <w:r w:rsidR="00AA4471" w:rsidRPr="009C3A3E">
        <w:t>) por $</w:t>
      </w:r>
      <w:r w:rsidR="00832C32">
        <w:t>54</w:t>
      </w:r>
      <w:r w:rsidR="00EA5C85">
        <w:t>.</w:t>
      </w:r>
      <w:r w:rsidR="00832C32">
        <w:t>919</w:t>
      </w:r>
      <w:r w:rsidR="00AA4471" w:rsidRPr="009C3A3E">
        <w:t xml:space="preserve"> millones</w:t>
      </w:r>
      <w:r w:rsidR="006E4A5E" w:rsidRPr="009C3A3E">
        <w:t xml:space="preserve">. Así, </w:t>
      </w:r>
      <w:r w:rsidR="006E4A5E" w:rsidRPr="004C5EE7">
        <w:rPr>
          <w:rFonts w:ascii="Calibri" w:hAnsi="Calibri" w:cs="Calibri"/>
          <w:lang w:eastAsia="es-CL"/>
        </w:rPr>
        <w:t>los ingresos</w:t>
      </w:r>
      <w:r w:rsidR="006F7CA6" w:rsidRPr="004C5EE7">
        <w:rPr>
          <w:rFonts w:ascii="Calibri" w:hAnsi="Calibri" w:cs="Calibri"/>
          <w:lang w:eastAsia="es-CL"/>
        </w:rPr>
        <w:t xml:space="preserve">, </w:t>
      </w:r>
      <w:r w:rsidR="006E4A5E" w:rsidRPr="004C5EE7">
        <w:rPr>
          <w:rFonts w:ascii="Calibri" w:hAnsi="Calibri" w:cs="Calibri"/>
          <w:lang w:eastAsia="es-CL"/>
        </w:rPr>
        <w:t xml:space="preserve">en términos reales, </w:t>
      </w:r>
      <w:r w:rsidR="0066107D">
        <w:rPr>
          <w:rFonts w:ascii="Calibri" w:hAnsi="Calibri" w:cs="Calibri"/>
          <w:lang w:eastAsia="es-CL"/>
        </w:rPr>
        <w:t xml:space="preserve">fueron un </w:t>
      </w:r>
      <w:r w:rsidR="00832C32">
        <w:rPr>
          <w:rFonts w:ascii="Calibri" w:hAnsi="Calibri" w:cs="Calibri"/>
          <w:lang w:eastAsia="es-CL"/>
        </w:rPr>
        <w:t>57</w:t>
      </w:r>
      <w:r w:rsidR="006E4A5E" w:rsidRPr="004C5EE7">
        <w:rPr>
          <w:rFonts w:ascii="Calibri" w:hAnsi="Calibri" w:cs="Calibri"/>
          <w:lang w:eastAsia="es-CL"/>
        </w:rPr>
        <w:t xml:space="preserve">% </w:t>
      </w:r>
      <w:r w:rsidR="0066107D">
        <w:rPr>
          <w:rFonts w:ascii="Calibri" w:hAnsi="Calibri" w:cs="Calibri"/>
          <w:lang w:eastAsia="es-CL"/>
        </w:rPr>
        <w:t xml:space="preserve">mayores de </w:t>
      </w:r>
      <w:r w:rsidR="006E4A5E" w:rsidRPr="004C5EE7">
        <w:rPr>
          <w:rFonts w:ascii="Calibri" w:hAnsi="Calibri" w:cs="Calibri"/>
          <w:lang w:eastAsia="es-CL"/>
        </w:rPr>
        <w:t>lo</w:t>
      </w:r>
      <w:r w:rsidR="0066107D">
        <w:rPr>
          <w:rFonts w:ascii="Calibri" w:hAnsi="Calibri" w:cs="Calibri"/>
          <w:lang w:eastAsia="es-CL"/>
        </w:rPr>
        <w:t>s</w:t>
      </w:r>
      <w:r w:rsidR="006E4A5E" w:rsidRPr="004C5EE7">
        <w:rPr>
          <w:rFonts w:ascii="Calibri" w:hAnsi="Calibri" w:cs="Calibri"/>
          <w:lang w:eastAsia="es-CL"/>
        </w:rPr>
        <w:t xml:space="preserve"> obtenido en </w:t>
      </w:r>
      <w:r w:rsidR="00832C32">
        <w:rPr>
          <w:rFonts w:ascii="Calibri" w:hAnsi="Calibri" w:cs="Calibri"/>
          <w:lang w:eastAsia="es-CL"/>
        </w:rPr>
        <w:t>octubre</w:t>
      </w:r>
      <w:r w:rsidR="006E4A5E" w:rsidRPr="004C5EE7">
        <w:rPr>
          <w:rFonts w:ascii="Calibri" w:hAnsi="Calibri" w:cs="Calibri"/>
          <w:lang w:eastAsia="es-CL"/>
        </w:rPr>
        <w:t xml:space="preserve"> de 20</w:t>
      </w:r>
      <w:r w:rsidR="00EA5C85">
        <w:rPr>
          <w:rFonts w:ascii="Calibri" w:hAnsi="Calibri" w:cs="Calibri"/>
          <w:lang w:eastAsia="es-CL"/>
        </w:rPr>
        <w:t xml:space="preserve">19 </w:t>
      </w:r>
      <w:r w:rsidR="00832C32">
        <w:rPr>
          <w:rFonts w:ascii="Calibri" w:hAnsi="Calibri" w:cs="Calibri"/>
          <w:lang w:eastAsia="es-CL"/>
        </w:rPr>
        <w:t xml:space="preserve">y un </w:t>
      </w:r>
      <w:r w:rsidR="0066107D">
        <w:rPr>
          <w:rFonts w:ascii="Calibri" w:hAnsi="Calibri" w:cs="Calibri"/>
          <w:lang w:eastAsia="es-CL"/>
        </w:rPr>
        <w:t>22</w:t>
      </w:r>
      <w:r w:rsidR="00832C32">
        <w:rPr>
          <w:rFonts w:ascii="Calibri" w:hAnsi="Calibri" w:cs="Calibri"/>
          <w:lang w:eastAsia="es-CL"/>
        </w:rPr>
        <w:t>% respecto de octubre 2018</w:t>
      </w:r>
      <w:r w:rsidR="0066107D">
        <w:rPr>
          <w:rFonts w:ascii="Calibri" w:hAnsi="Calibri" w:cs="Calibri"/>
          <w:lang w:eastAsia="es-CL"/>
        </w:rPr>
        <w:t>. N</w:t>
      </w:r>
      <w:r w:rsidR="00EA5C85">
        <w:rPr>
          <w:rFonts w:ascii="Calibri" w:hAnsi="Calibri" w:cs="Calibri"/>
          <w:lang w:eastAsia="es-CL"/>
        </w:rPr>
        <w:t xml:space="preserve">o se compara con </w:t>
      </w:r>
      <w:r w:rsidR="0066107D">
        <w:rPr>
          <w:rFonts w:ascii="Calibri" w:hAnsi="Calibri" w:cs="Calibri"/>
          <w:lang w:eastAsia="es-CL"/>
        </w:rPr>
        <w:t>octubre</w:t>
      </w:r>
      <w:r w:rsidR="00EA5C85">
        <w:rPr>
          <w:rFonts w:ascii="Calibri" w:hAnsi="Calibri" w:cs="Calibri"/>
          <w:lang w:eastAsia="es-CL"/>
        </w:rPr>
        <w:t xml:space="preserve"> 2020 ya que en ese mes </w:t>
      </w:r>
      <w:r w:rsidR="009D32C3">
        <w:rPr>
          <w:rFonts w:ascii="Calibri" w:hAnsi="Calibri" w:cs="Calibri"/>
          <w:lang w:eastAsia="es-CL"/>
        </w:rPr>
        <w:t xml:space="preserve">todos los casinos se encontraban cerrados </w:t>
      </w:r>
      <w:r w:rsidR="00CD5340">
        <w:rPr>
          <w:rFonts w:ascii="Calibri" w:hAnsi="Calibri" w:cs="Calibri"/>
          <w:lang w:eastAsia="es-CL"/>
        </w:rPr>
        <w:t xml:space="preserve">debido a la </w:t>
      </w:r>
      <w:r w:rsidR="009D32C3">
        <w:rPr>
          <w:rFonts w:ascii="Calibri" w:hAnsi="Calibri" w:cs="Calibri"/>
          <w:lang w:eastAsia="es-CL"/>
        </w:rPr>
        <w:t>pandemia</w:t>
      </w:r>
      <w:r w:rsidR="0066107D">
        <w:rPr>
          <w:rFonts w:ascii="Calibri" w:hAnsi="Calibri" w:cs="Calibri"/>
          <w:lang w:eastAsia="es-CL"/>
        </w:rPr>
        <w:t>.</w:t>
      </w:r>
    </w:p>
    <w:p w14:paraId="38A3CB86" w14:textId="7EC3B29C" w:rsidR="00CA0964" w:rsidRDefault="00CA0964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</w:p>
    <w:p w14:paraId="34A81032" w14:textId="158A193B" w:rsidR="00CA0964" w:rsidRPr="004C5EE7" w:rsidRDefault="00CA0964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>
        <w:rPr>
          <w:rFonts w:ascii="Calibri" w:hAnsi="Calibri" w:cs="Calibri"/>
          <w:lang w:eastAsia="es-CL"/>
        </w:rPr>
        <w:t xml:space="preserve">Asimismo, resulta relevante destacar que </w:t>
      </w:r>
      <w:r w:rsidR="00543268">
        <w:rPr>
          <w:rFonts w:ascii="Calibri" w:hAnsi="Calibri" w:cs="Calibri"/>
          <w:lang w:eastAsia="es-CL"/>
        </w:rPr>
        <w:t>l</w:t>
      </w:r>
      <w:r w:rsidR="00A80753">
        <w:rPr>
          <w:rFonts w:ascii="Calibri" w:hAnsi="Calibri" w:cs="Calibri"/>
          <w:lang w:eastAsia="es-CL"/>
        </w:rPr>
        <w:t>a operación en este tiempo de pandemia se</w:t>
      </w:r>
      <w:r w:rsidR="00543268">
        <w:rPr>
          <w:rFonts w:ascii="Calibri" w:hAnsi="Calibri" w:cs="Calibri"/>
          <w:lang w:eastAsia="es-CL"/>
        </w:rPr>
        <w:t xml:space="preserve"> </w:t>
      </w:r>
      <w:r w:rsidR="00A80753">
        <w:rPr>
          <w:rFonts w:ascii="Calibri" w:hAnsi="Calibri" w:cs="Calibri"/>
          <w:lang w:eastAsia="es-CL"/>
        </w:rPr>
        <w:t xml:space="preserve">ajusta a </w:t>
      </w:r>
      <w:r w:rsidR="00543268">
        <w:rPr>
          <w:rFonts w:ascii="Calibri" w:hAnsi="Calibri" w:cs="Calibri"/>
          <w:lang w:eastAsia="es-CL"/>
        </w:rPr>
        <w:t>un aforo reducido, entre otras restricciones sanitaria</w:t>
      </w:r>
      <w:r w:rsidR="0066107D">
        <w:rPr>
          <w:rFonts w:ascii="Calibri" w:hAnsi="Calibri" w:cs="Calibri"/>
          <w:lang w:eastAsia="es-CL"/>
        </w:rPr>
        <w:t>s</w:t>
      </w:r>
      <w:r w:rsidR="00A80753">
        <w:rPr>
          <w:rFonts w:ascii="Calibri" w:hAnsi="Calibri" w:cs="Calibri"/>
          <w:lang w:eastAsia="es-CL"/>
        </w:rPr>
        <w:t xml:space="preserve">. </w:t>
      </w:r>
      <w:r w:rsidR="00543268">
        <w:rPr>
          <w:rFonts w:ascii="Calibri" w:hAnsi="Calibri" w:cs="Calibri"/>
          <w:lang w:eastAsia="es-CL"/>
        </w:rPr>
        <w:t xml:space="preserve"> </w:t>
      </w:r>
    </w:p>
    <w:p w14:paraId="32DFEFAB" w14:textId="77777777" w:rsidR="00ED60A3" w:rsidRPr="004C5EE7" w:rsidRDefault="00ED60A3" w:rsidP="00083908">
      <w:pPr>
        <w:tabs>
          <w:tab w:val="left" w:pos="0"/>
        </w:tabs>
        <w:spacing w:after="0" w:line="240" w:lineRule="auto"/>
      </w:pPr>
    </w:p>
    <w:p w14:paraId="710E670A" w14:textId="1321A5F9" w:rsidR="00265A30" w:rsidRPr="004C5EE7" w:rsidRDefault="006E4A5E" w:rsidP="00083908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66107D">
        <w:t>551</w:t>
      </w:r>
      <w:r w:rsidR="00A80753">
        <w:t>.</w:t>
      </w:r>
      <w:r w:rsidR="0066107D">
        <w:t>840</w:t>
      </w:r>
      <w:r w:rsidRPr="004C5EE7">
        <w:t xml:space="preserve"> personas que ingresaron a los </w:t>
      </w:r>
      <w:r w:rsidR="00A80753">
        <w:t>2</w:t>
      </w:r>
      <w:r w:rsidR="0066107D">
        <w:t>6</w:t>
      </w:r>
      <w:r w:rsidRPr="004C5EE7">
        <w:t xml:space="preserve"> casinos </w:t>
      </w:r>
      <w:r w:rsidR="00A5263C">
        <w:t>en operación</w:t>
      </w:r>
      <w:r w:rsidR="006379E8">
        <w:t xml:space="preserve">, </w:t>
      </w:r>
      <w:r w:rsidR="0034512E">
        <w:t>que es mayor a las visitas recibidas en octubre 2019 (mes afectado por el estallido social), pero un 9,5% bajo las vivistas de octubre 2018.</w:t>
      </w:r>
    </w:p>
    <w:p w14:paraId="2FE7878F" w14:textId="77777777" w:rsidR="00B84B30" w:rsidRPr="004C5EE7" w:rsidRDefault="00B84B30" w:rsidP="00083908">
      <w:pPr>
        <w:tabs>
          <w:tab w:val="left" w:pos="0"/>
        </w:tabs>
        <w:spacing w:after="0" w:line="240" w:lineRule="auto"/>
      </w:pPr>
    </w:p>
    <w:p w14:paraId="0381DB9E" w14:textId="7BE16E21" w:rsidR="00330D14" w:rsidRDefault="006379E8" w:rsidP="00EA5C85">
      <w:pPr>
        <w:tabs>
          <w:tab w:val="left" w:pos="0"/>
        </w:tabs>
        <w:spacing w:after="0" w:line="240" w:lineRule="auto"/>
      </w:pPr>
      <w:r>
        <w:t xml:space="preserve">Además, </w:t>
      </w:r>
      <w:r w:rsidR="00265A30" w:rsidRPr="004C5EE7">
        <w:t xml:space="preserve">durante </w:t>
      </w:r>
      <w:r w:rsidR="0034512E">
        <w:t>octubre</w:t>
      </w:r>
      <w:r w:rsidR="00790E9F" w:rsidRPr="009C3A3E">
        <w:t xml:space="preserve"> </w:t>
      </w:r>
      <w:r w:rsidR="003F05FA" w:rsidRPr="009C3A3E">
        <w:t>se</w:t>
      </w:r>
      <w:r w:rsidR="00265A30" w:rsidRPr="009C3A3E">
        <w:t xml:space="preserve"> registró un gasto promedio </w:t>
      </w:r>
      <w:r w:rsidR="00A51CDD" w:rsidRPr="009C3A3E">
        <w:t>de $</w:t>
      </w:r>
      <w:r w:rsidR="00A23BD9">
        <w:t>9</w:t>
      </w:r>
      <w:r w:rsidR="0034512E">
        <w:t>9</w:t>
      </w:r>
      <w:r w:rsidR="002E7643">
        <w:t>.</w:t>
      </w:r>
      <w:r w:rsidR="0034512E">
        <w:t>461</w:t>
      </w:r>
      <w:r w:rsidR="00265A30" w:rsidRPr="009C3A3E">
        <w:t xml:space="preserve"> por visita, lo que </w:t>
      </w:r>
      <w:r w:rsidR="000D6BF6" w:rsidRPr="009C3A3E">
        <w:t xml:space="preserve">implica </w:t>
      </w:r>
      <w:r w:rsidR="00265A30" w:rsidRPr="009C3A3E">
        <w:t>un</w:t>
      </w:r>
      <w:r w:rsidR="00E64DD6">
        <w:t xml:space="preserve"> aumento real de un</w:t>
      </w:r>
      <w:r w:rsidR="0034512E">
        <w:t xml:space="preserve"> 44</w:t>
      </w:r>
      <w:r w:rsidR="00A80753">
        <w:t>,</w:t>
      </w:r>
      <w:r w:rsidR="0034512E">
        <w:t>2</w:t>
      </w:r>
      <w:r w:rsidR="004C5EE7">
        <w:t>%</w:t>
      </w:r>
      <w:r w:rsidR="00265A30" w:rsidRPr="009C3A3E">
        <w:t xml:space="preserve"> respecto de </w:t>
      </w:r>
      <w:r w:rsidR="0034512E">
        <w:t>octubre</w:t>
      </w:r>
      <w:r w:rsidR="00790E9F" w:rsidRPr="009C3A3E">
        <w:t xml:space="preserve"> </w:t>
      </w:r>
      <w:r w:rsidR="009A5B96" w:rsidRPr="009C3A3E">
        <w:t>de 20</w:t>
      </w:r>
      <w:r w:rsidR="00EA5C85">
        <w:t>19</w:t>
      </w:r>
      <w:r w:rsidR="0034512E">
        <w:t xml:space="preserve"> y de 30,9% respecto de octubre 2018</w:t>
      </w:r>
      <w:r w:rsidR="00265A30" w:rsidRPr="009C3A3E">
        <w:t>.</w:t>
      </w:r>
    </w:p>
    <w:p w14:paraId="563B8A29" w14:textId="77777777" w:rsidR="00EA5C85" w:rsidRPr="00EA5C85" w:rsidRDefault="00EA5C85" w:rsidP="00EA5C85">
      <w:pPr>
        <w:tabs>
          <w:tab w:val="left" w:pos="0"/>
        </w:tabs>
        <w:spacing w:after="0" w:line="240" w:lineRule="auto"/>
      </w:pPr>
    </w:p>
    <w:p w14:paraId="4164E209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lastRenderedPageBreak/>
        <w:t>Autoexclusión voluntaria</w:t>
      </w:r>
    </w:p>
    <w:p w14:paraId="564054D3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</w:p>
    <w:p w14:paraId="7D030F85" w14:textId="5A518463" w:rsidR="00EF4E0C" w:rsidRPr="004C5EE7" w:rsidRDefault="00EF4E0C" w:rsidP="00EF4E0C">
      <w:pPr>
        <w:tabs>
          <w:tab w:val="left" w:pos="0"/>
        </w:tabs>
        <w:spacing w:after="0" w:line="240" w:lineRule="auto"/>
      </w:pPr>
      <w:r>
        <w:t xml:space="preserve">Una medida de protección de los jugadores respecto a los riesgos que presenta el </w:t>
      </w:r>
      <w:r w:rsidR="004C5EE7">
        <w:t>juego</w:t>
      </w:r>
      <w:r w:rsidR="00EA5C85">
        <w:t xml:space="preserve">, </w:t>
      </w:r>
      <w:r w:rsidR="004C5EE7">
        <w:t>ampliamente utilizada</w:t>
      </w:r>
      <w:r>
        <w:t xml:space="preserve"> a nivel </w:t>
      </w:r>
      <w:r w:rsidR="00EA5C85">
        <w:t>mundial,</w:t>
      </w:r>
      <w:r>
        <w:t xml:space="preserve"> es la autoexclusión voluntaria de los casinos de juego. En agosto de 2019, mediante la circular Nº102 la Superintendencia implementó un mecanismo transversal a todos los casinos de juego, el que simplifica el proceso, permitiendo que se realice de </w:t>
      </w:r>
      <w:r w:rsidRPr="004C5EE7">
        <w:t>manera remota y lo estandariza a nivel nacional.</w:t>
      </w:r>
    </w:p>
    <w:p w14:paraId="79775E98" w14:textId="77777777" w:rsidR="00EF4E0C" w:rsidRPr="004C5EE7" w:rsidRDefault="00EF4E0C" w:rsidP="00EF4E0C">
      <w:pPr>
        <w:tabs>
          <w:tab w:val="left" w:pos="0"/>
        </w:tabs>
        <w:spacing w:after="0" w:line="240" w:lineRule="auto"/>
      </w:pPr>
    </w:p>
    <w:p w14:paraId="7374E207" w14:textId="705BFD69" w:rsidR="00EF4E0C" w:rsidRDefault="00EF4E0C" w:rsidP="00EF4E0C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C5EE7">
        <w:t xml:space="preserve">Así, a </w:t>
      </w:r>
      <w:r w:rsidR="00134171">
        <w:t xml:space="preserve">dos años </w:t>
      </w:r>
      <w:r w:rsidR="00B440B7">
        <w:t>de su implementación</w:t>
      </w:r>
      <w:r w:rsidRPr="004C5EE7">
        <w:t xml:space="preserve">, la cantidad de autoexcluidos ha aumentado en un </w:t>
      </w:r>
      <w:r w:rsidR="00A80753">
        <w:t>6</w:t>
      </w:r>
      <w:r w:rsidR="009623D2">
        <w:t>8</w:t>
      </w:r>
      <w:r w:rsidRPr="004C5EE7">
        <w:t xml:space="preserve">%, llegando a </w:t>
      </w:r>
      <w:r w:rsidR="00A80753">
        <w:t>1.</w:t>
      </w:r>
      <w:r w:rsidR="009623D2">
        <w:t>637</w:t>
      </w:r>
      <w:r w:rsidR="00B45B9F">
        <w:t xml:space="preserve">, mientras que </w:t>
      </w:r>
      <w:r w:rsidR="00B45B9F" w:rsidRPr="004C5EE7">
        <w:t>entre 2011 y agosto de 2019</w:t>
      </w:r>
      <w:r w:rsidR="00B45B9F">
        <w:t>,</w:t>
      </w:r>
      <w:r w:rsidRPr="004C5EE7">
        <w:t xml:space="preserve"> </w:t>
      </w:r>
      <w:r w:rsidR="00B45B9F" w:rsidRPr="004C5EE7">
        <w:t>de manera previa a la dictación de la circular N°102</w:t>
      </w:r>
      <w:r w:rsidR="00B45B9F">
        <w:t>,</w:t>
      </w:r>
      <w:r w:rsidR="004C5EE7" w:rsidRPr="004C5EE7">
        <w:t xml:space="preserve"> </w:t>
      </w:r>
      <w:r w:rsidR="00B45B9F" w:rsidRPr="004C5EE7">
        <w:t>976 personas habían realizado el proceso</w:t>
      </w:r>
      <w:r w:rsidR="00B45B9F">
        <w:t xml:space="preserve"> en algún casino de juego o ante la Superintendencia. Desde </w:t>
      </w:r>
      <w:r w:rsidR="004C5EE7" w:rsidRPr="004C5EE7">
        <w:t>la dictación de la circular</w:t>
      </w:r>
      <w:r w:rsidRPr="004C5EE7">
        <w:t xml:space="preserve"> Nº102</w:t>
      </w:r>
      <w:r w:rsidR="004C5EE7" w:rsidRPr="004C5EE7">
        <w:t xml:space="preserve"> se han autoexcluido </w:t>
      </w:r>
      <w:r w:rsidR="00A80753">
        <w:t>1.0</w:t>
      </w:r>
      <w:r w:rsidR="004A620A">
        <w:t>87</w:t>
      </w:r>
      <w:r w:rsidR="004C5EE7" w:rsidRPr="004C5EE7">
        <w:t xml:space="preserve"> personas</w:t>
      </w:r>
      <w:r w:rsidRPr="004C5EE7">
        <w:t xml:space="preserve"> mientras que</w:t>
      </w:r>
      <w:r w:rsidR="004C5EE7" w:rsidRPr="004C5EE7">
        <w:t xml:space="preserve"> </w:t>
      </w:r>
      <w:r w:rsidR="009623D2">
        <w:t>500</w:t>
      </w:r>
      <w:r w:rsidR="004C5EE7" w:rsidRPr="004C5EE7">
        <w:t xml:space="preserve"> personas han revocado su registro en el sistema de autoexclusión.</w:t>
      </w:r>
    </w:p>
    <w:sectPr w:rsidR="00EF4E0C" w:rsidSect="00DC75C9">
      <w:headerReference w:type="default" r:id="rId9"/>
      <w:footerReference w:type="default" r:id="rId10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8E23" w14:textId="77777777" w:rsidR="0096359B" w:rsidRDefault="0096359B" w:rsidP="00FD382C">
      <w:r>
        <w:separator/>
      </w:r>
    </w:p>
  </w:endnote>
  <w:endnote w:type="continuationSeparator" w:id="0">
    <w:p w14:paraId="5E87691F" w14:textId="77777777" w:rsidR="0096359B" w:rsidRDefault="0096359B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79E6" w14:textId="77777777" w:rsidR="0096359B" w:rsidRDefault="0096359B" w:rsidP="00FD382C">
      <w:r>
        <w:separator/>
      </w:r>
    </w:p>
  </w:footnote>
  <w:footnote w:type="continuationSeparator" w:id="0">
    <w:p w14:paraId="305CF16C" w14:textId="77777777" w:rsidR="0096359B" w:rsidRDefault="0096359B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774DDA54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4B0C2A">
      <w:rPr>
        <w:b/>
      </w:rPr>
      <w:t>Jueves 9</w:t>
    </w:r>
    <w:r w:rsidR="00731D61">
      <w:rPr>
        <w:b/>
      </w:rPr>
      <w:t xml:space="preserve"> </w:t>
    </w:r>
    <w:r>
      <w:rPr>
        <w:b/>
      </w:rPr>
      <w:t xml:space="preserve">de </w:t>
    </w:r>
    <w:r w:rsidR="009623D2">
      <w:rPr>
        <w:b/>
      </w:rPr>
      <w:t>diciembre</w:t>
    </w:r>
    <w:r w:rsidR="008659CE">
      <w:rPr>
        <w:b/>
      </w:rPr>
      <w:t xml:space="preserve"> </w:t>
    </w:r>
    <w:r>
      <w:rPr>
        <w:b/>
      </w:rPr>
      <w:t>de 2021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B47F6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0C2A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6107D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D340C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31F"/>
    <w:rsid w:val="00731D61"/>
    <w:rsid w:val="00731F65"/>
    <w:rsid w:val="0073400A"/>
    <w:rsid w:val="007348DB"/>
    <w:rsid w:val="007368D5"/>
    <w:rsid w:val="0073758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65AF"/>
    <w:rsid w:val="009303C5"/>
    <w:rsid w:val="00932D63"/>
    <w:rsid w:val="00936EAE"/>
    <w:rsid w:val="00943C82"/>
    <w:rsid w:val="0094407B"/>
    <w:rsid w:val="00945D38"/>
    <w:rsid w:val="00946AAC"/>
    <w:rsid w:val="00950E82"/>
    <w:rsid w:val="0095264F"/>
    <w:rsid w:val="0095441A"/>
    <w:rsid w:val="0096014A"/>
    <w:rsid w:val="009623D2"/>
    <w:rsid w:val="0096359B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5B37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41A3"/>
    <w:rsid w:val="00A55386"/>
    <w:rsid w:val="00A63E30"/>
    <w:rsid w:val="00A667EF"/>
    <w:rsid w:val="00A71A63"/>
    <w:rsid w:val="00A729EA"/>
    <w:rsid w:val="00A73100"/>
    <w:rsid w:val="00A74B36"/>
    <w:rsid w:val="00A80753"/>
    <w:rsid w:val="00A8087D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51E"/>
    <w:rsid w:val="00B07563"/>
    <w:rsid w:val="00B10381"/>
    <w:rsid w:val="00B14621"/>
    <w:rsid w:val="00B214DF"/>
    <w:rsid w:val="00B22B12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E4D"/>
    <w:rsid w:val="00B71714"/>
    <w:rsid w:val="00B73927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4E04"/>
    <w:rsid w:val="00C17937"/>
    <w:rsid w:val="00C2062A"/>
    <w:rsid w:val="00C253AC"/>
    <w:rsid w:val="00C27DE5"/>
    <w:rsid w:val="00C44D28"/>
    <w:rsid w:val="00C5279C"/>
    <w:rsid w:val="00C547FE"/>
    <w:rsid w:val="00C60FC7"/>
    <w:rsid w:val="00C62C46"/>
    <w:rsid w:val="00C64155"/>
    <w:rsid w:val="00C708EE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6392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74A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9B5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cl/pasoapa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3</cp:revision>
  <cp:lastPrinted>2019-08-27T13:47:00Z</cp:lastPrinted>
  <dcterms:created xsi:type="dcterms:W3CDTF">2021-12-09T19:13:00Z</dcterms:created>
  <dcterms:modified xsi:type="dcterms:W3CDTF">2021-12-09T19:13:00Z</dcterms:modified>
</cp:coreProperties>
</file>